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70723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0723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0723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0723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70723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0723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0723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0723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0723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70723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0723F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0723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0723F" w:rsidRDefault="00F73BFC" w:rsidP="00544E3D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0723F">
              <w:rPr>
                <w:rFonts w:ascii="Times New Roman" w:hAnsi="Times New Roman"/>
                <w:sz w:val="22"/>
                <w:szCs w:val="22"/>
              </w:rPr>
              <w:t xml:space="preserve">Aprova a </w:t>
            </w:r>
            <w:r w:rsidR="00FA2E83" w:rsidRPr="0070723F">
              <w:rPr>
                <w:rFonts w:ascii="Times New Roman" w:hAnsi="Times New Roman"/>
                <w:sz w:val="22"/>
                <w:szCs w:val="22"/>
              </w:rPr>
              <w:t xml:space="preserve">Portaria Normativa </w:t>
            </w:r>
            <w:r w:rsidR="00544E3D">
              <w:rPr>
                <w:rFonts w:ascii="Times New Roman" w:hAnsi="Times New Roman"/>
                <w:sz w:val="22"/>
                <w:szCs w:val="22"/>
              </w:rPr>
              <w:t>que r</w:t>
            </w:r>
            <w:r w:rsidR="00FA2E83" w:rsidRPr="0070723F">
              <w:rPr>
                <w:rFonts w:ascii="Times New Roman" w:hAnsi="Times New Roman"/>
                <w:sz w:val="22"/>
                <w:szCs w:val="22"/>
              </w:rPr>
              <w:t xml:space="preserve">egulamenta, no âmbito do Conselho de Arquitetura e Urbanismo do Rio Grande do Sul – CAU/RS, a </w:t>
            </w:r>
            <w:r w:rsidR="00544E3D">
              <w:rPr>
                <w:rFonts w:ascii="Times New Roman" w:hAnsi="Times New Roman"/>
                <w:sz w:val="22"/>
                <w:szCs w:val="22"/>
              </w:rPr>
              <w:t>utilização do Superávit Financeiro.</w:t>
            </w:r>
          </w:p>
        </w:tc>
      </w:tr>
    </w:tbl>
    <w:p w:rsidR="00544E3D" w:rsidRPr="00044DD9" w:rsidRDefault="00544E3D" w:rsidP="00544E3D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014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124A49" w:rsidRPr="0070723F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A2E83" w:rsidRPr="0070723F" w:rsidRDefault="00544E3D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544E3D">
        <w:rPr>
          <w:rFonts w:ascii="Times New Roman" w:hAnsi="Times New Roman"/>
          <w:sz w:val="20"/>
          <w:szCs w:val="22"/>
        </w:rPr>
        <w:t>Aprova a Portaria Normativa que regulamenta, no âmbito do Conselho de Arquitetura e Urbanismo do Rio Grande do Sul – CAU/RS, a utilização do Superávit Financeiro.</w:t>
      </w:r>
    </w:p>
    <w:p w:rsidR="001C51BE" w:rsidRPr="00044DD9" w:rsidRDefault="001C51BE" w:rsidP="001C51BE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C51BE" w:rsidRDefault="001C51BE" w:rsidP="001C51B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extraordinariamente em Porto Alegre – RS, na sede do CAU/RS, no dia 29 de março de 2019; </w:t>
      </w:r>
    </w:p>
    <w:p w:rsidR="001C51BE" w:rsidRDefault="001C51BE" w:rsidP="001C51B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51BE" w:rsidRPr="00370A76" w:rsidRDefault="001C51BE" w:rsidP="001C51BE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o CAU/RS, enquanto autarquia federal, está submetido às normas gerais de direito financeiro para elaboração e controle dos orçamentos e balanços previstas na Lei nº 4.320, de 17 de março de 1964;</w:t>
      </w:r>
    </w:p>
    <w:p w:rsidR="001C51BE" w:rsidRPr="00370A76" w:rsidRDefault="001C51BE" w:rsidP="001C51BE">
      <w:pPr>
        <w:suppressAutoHyphens/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1C51BE" w:rsidRPr="00370A76" w:rsidRDefault="001C51BE" w:rsidP="001C51BE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a Lei 4.320, de 17 de março de 1964, autoriza inclusão, nas propostas orçamentárias anuais, de créditos adicionais, destinados a reforço de dotação orçamentária;</w:t>
      </w:r>
    </w:p>
    <w:p w:rsidR="001C51BE" w:rsidRPr="00370A76" w:rsidRDefault="001C51BE" w:rsidP="001C51BE">
      <w:pPr>
        <w:tabs>
          <w:tab w:val="left" w:pos="709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:rsidR="001C51BE" w:rsidRPr="00370A76" w:rsidRDefault="001C51BE" w:rsidP="001C51BE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o CAU/BR, nos termos da Deliberação plenária DPO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-</w:t>
      </w: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 xml:space="preserve">BR nº 0084-03/2018, deliberou pela autorização da utilização de superávit financeiro, apurado em balanço patrimonial do exercício anterior, em despesas de capital e em projetos específicos com seus respectivos Planos de Trabalho e com duração não superior a um exercício, de caráter não continuado, </w:t>
      </w:r>
      <w:r w:rsidRPr="00370A76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em ações cuja realização seja suportada por despesas de natureza corrente;</w:t>
      </w:r>
    </w:p>
    <w:p w:rsidR="001C51BE" w:rsidRPr="00370A76" w:rsidRDefault="001C51BE" w:rsidP="001C51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C51BE" w:rsidRPr="00370A76" w:rsidRDefault="001C51BE" w:rsidP="001C51BE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a necessidade de estabelecimento de critérios e percentuais de uso dos recursos disponíveis em superávit financeiro, para utilização pelo CAU/RS;</w:t>
      </w:r>
    </w:p>
    <w:p w:rsidR="001C51BE" w:rsidRPr="00370A76" w:rsidRDefault="001C51BE" w:rsidP="001C51BE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124A49" w:rsidRPr="0070723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0723F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70723F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70723F">
        <w:rPr>
          <w:rFonts w:ascii="Times New Roman" w:hAnsi="Times New Roman"/>
          <w:sz w:val="22"/>
          <w:szCs w:val="22"/>
          <w:lang w:eastAsia="pt-BR"/>
        </w:rPr>
        <w:tab/>
      </w:r>
    </w:p>
    <w:p w:rsidR="00FA2E83" w:rsidRPr="0070723F" w:rsidRDefault="000C1CFB" w:rsidP="0070723F">
      <w:pPr>
        <w:pStyle w:val="PargrafodaLista"/>
        <w:numPr>
          <w:ilvl w:val="0"/>
          <w:numId w:val="1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70723F">
        <w:rPr>
          <w:rFonts w:ascii="Times New Roman" w:hAnsi="Times New Roman"/>
          <w:sz w:val="22"/>
        </w:rPr>
        <w:t xml:space="preserve">Pela </w:t>
      </w:r>
      <w:r w:rsidR="00FA2E83" w:rsidRPr="0070723F">
        <w:rPr>
          <w:rFonts w:ascii="Times New Roman" w:hAnsi="Times New Roman"/>
          <w:sz w:val="22"/>
        </w:rPr>
        <w:t xml:space="preserve">aprovação da </w:t>
      </w:r>
      <w:r w:rsidR="00FA2E83" w:rsidRPr="0070723F">
        <w:rPr>
          <w:rFonts w:ascii="Times New Roman" w:hAnsi="Times New Roman"/>
          <w:sz w:val="22"/>
          <w:szCs w:val="22"/>
        </w:rPr>
        <w:t xml:space="preserve">Portaria Normativa </w:t>
      </w:r>
      <w:r w:rsidR="004029F3" w:rsidRPr="0070723F">
        <w:rPr>
          <w:rFonts w:ascii="Times New Roman" w:hAnsi="Times New Roman"/>
          <w:sz w:val="22"/>
          <w:szCs w:val="22"/>
        </w:rPr>
        <w:t>que r</w:t>
      </w:r>
      <w:r w:rsidR="00FA2E83" w:rsidRPr="0070723F">
        <w:rPr>
          <w:rFonts w:ascii="Times New Roman" w:hAnsi="Times New Roman"/>
          <w:sz w:val="22"/>
          <w:szCs w:val="22"/>
        </w:rPr>
        <w:t xml:space="preserve">egulamenta, no âmbito do Conselho de Arquitetura e Urbanismo do Rio Grande do Sul – CAU/RS, </w:t>
      </w:r>
      <w:r w:rsidR="001C51BE" w:rsidRPr="00544E3D">
        <w:rPr>
          <w:rFonts w:ascii="Times New Roman" w:hAnsi="Times New Roman"/>
          <w:sz w:val="20"/>
          <w:szCs w:val="22"/>
        </w:rPr>
        <w:t>a utilização do Superávit Financeiro</w:t>
      </w:r>
      <w:r w:rsidR="007B39FC">
        <w:rPr>
          <w:rFonts w:ascii="Times New Roman" w:hAnsi="Times New Roman"/>
          <w:sz w:val="20"/>
          <w:szCs w:val="22"/>
        </w:rPr>
        <w:t xml:space="preserve">, </w:t>
      </w:r>
      <w:r w:rsidR="007B39FC">
        <w:rPr>
          <w:rFonts w:ascii="Times New Roman" w:hAnsi="Times New Roman"/>
          <w:sz w:val="22"/>
          <w:szCs w:val="22"/>
        </w:rPr>
        <w:t>na forma do anexo</w:t>
      </w:r>
      <w:r w:rsidR="007B39FC" w:rsidRPr="0070723F">
        <w:rPr>
          <w:rFonts w:ascii="Times New Roman" w:hAnsi="Times New Roman"/>
          <w:sz w:val="22"/>
          <w:szCs w:val="22"/>
        </w:rPr>
        <w:t xml:space="preserve"> dessa Deliberação</w:t>
      </w:r>
      <w:r w:rsidR="004029F3" w:rsidRPr="0070723F">
        <w:rPr>
          <w:rFonts w:ascii="Times New Roman" w:hAnsi="Times New Roman"/>
          <w:sz w:val="22"/>
          <w:szCs w:val="22"/>
        </w:rPr>
        <w:t xml:space="preserve">. </w:t>
      </w:r>
    </w:p>
    <w:p w:rsidR="00124A49" w:rsidRPr="0070723F" w:rsidRDefault="000C1CFB" w:rsidP="00EA365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0723F">
        <w:rPr>
          <w:rFonts w:ascii="Times New Roman" w:hAnsi="Times New Roman"/>
        </w:rPr>
        <w:t xml:space="preserve"> </w:t>
      </w:r>
      <w:r w:rsidR="00124A49" w:rsidRPr="0070723F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70723F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A3658" w:rsidRPr="00027736" w:rsidRDefault="00EA3658" w:rsidP="00EA3658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 w:rsidR="00554676" w:rsidRPr="00554676">
        <w:rPr>
          <w:rFonts w:ascii="Times New Roman" w:hAnsi="Times New Roman"/>
          <w:sz w:val="22"/>
          <w:szCs w:val="22"/>
        </w:rPr>
        <w:t xml:space="preserve"> </w:t>
      </w:r>
      <w:r w:rsidR="00554676" w:rsidRPr="00027736">
        <w:rPr>
          <w:rFonts w:ascii="Times New Roman" w:hAnsi="Times New Roman"/>
          <w:sz w:val="22"/>
          <w:szCs w:val="22"/>
        </w:rPr>
        <w:t>Alvino Jara</w:t>
      </w:r>
      <w:r w:rsidRPr="00027736">
        <w:rPr>
          <w:rFonts w:ascii="Times New Roman" w:hAnsi="Times New Roman"/>
          <w:sz w:val="22"/>
          <w:szCs w:val="22"/>
        </w:rPr>
        <w:t xml:space="preserve">,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="00554676">
        <w:rPr>
          <w:rFonts w:ascii="Times New Roman" w:hAnsi="Times New Roman"/>
          <w:sz w:val="22"/>
          <w:szCs w:val="22"/>
        </w:rPr>
        <w:t xml:space="preserve">, 01 (uma) abstenção do conselheiro </w:t>
      </w:r>
      <w:r w:rsidR="00554676" w:rsidRPr="00027736">
        <w:rPr>
          <w:rFonts w:ascii="Times New Roman" w:hAnsi="Times New Roman"/>
          <w:sz w:val="22"/>
          <w:szCs w:val="22"/>
        </w:rPr>
        <w:t>Paulo Fernando do Amaral Fontana</w:t>
      </w:r>
      <w:r w:rsidR="00554676" w:rsidRPr="0002773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>0</w:t>
      </w:r>
      <w:r w:rsidR="00554676">
        <w:rPr>
          <w:rFonts w:ascii="Times New Roman" w:hAnsi="Times New Roman"/>
          <w:sz w:val="22"/>
          <w:szCs w:val="22"/>
          <w:lang w:eastAsia="pt-BR"/>
        </w:rPr>
        <w:t>3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554676"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>) ausências dos conselheiros</w:t>
      </w:r>
      <w:r>
        <w:rPr>
          <w:rFonts w:ascii="Times New Roman" w:hAnsi="Times New Roman"/>
          <w:sz w:val="22"/>
          <w:szCs w:val="22"/>
        </w:rPr>
        <w:t>,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1C51BE" w:rsidRPr="00FB6C18" w:rsidRDefault="001C51BE" w:rsidP="001C51B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29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março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1C51BE" w:rsidRDefault="001C51BE" w:rsidP="001C51B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37331" w:rsidRPr="00FB6C18" w:rsidRDefault="00237331" w:rsidP="001C51B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C51BE" w:rsidRPr="00FB6C18" w:rsidRDefault="001C51BE" w:rsidP="001C51B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C51BE" w:rsidRPr="00FB6C18" w:rsidRDefault="001C51BE" w:rsidP="001C51BE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901BB3" w:rsidRPr="008D7E43" w:rsidRDefault="008E69E6" w:rsidP="00901B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 w:rsidRPr="0070723F">
        <w:rPr>
          <w:rFonts w:ascii="Times New Roman" w:hAnsi="Times New Roman"/>
          <w:sz w:val="22"/>
        </w:rPr>
        <w:br w:type="page"/>
      </w:r>
      <w:r w:rsidR="00901BB3">
        <w:rPr>
          <w:rFonts w:ascii="Times New Roman" w:hAnsi="Times New Roman"/>
          <w:b/>
          <w:bCs/>
          <w:lang w:eastAsia="pt-BR"/>
        </w:rPr>
        <w:lastRenderedPageBreak/>
        <w:t>19</w:t>
      </w:r>
      <w:r w:rsidR="00901BB3"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901BB3">
        <w:rPr>
          <w:rFonts w:ascii="Times New Roman" w:hAnsi="Times New Roman"/>
          <w:b/>
          <w:bCs/>
          <w:lang w:eastAsia="pt-BR"/>
        </w:rPr>
        <w:t>EXTRA</w:t>
      </w:r>
      <w:r w:rsidR="00901BB3"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8E69E6" w:rsidRPr="0070723F" w:rsidRDefault="008E69E6" w:rsidP="008E69E6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8E69E6" w:rsidRPr="0070723F" w:rsidRDefault="008E69E6" w:rsidP="008E69E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70723F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8E69E6" w:rsidRPr="0070723F" w:rsidRDefault="008E69E6" w:rsidP="008E69E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E69E6" w:rsidRPr="0070723F" w:rsidTr="00544E3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8E69E6" w:rsidRPr="0070723F" w:rsidTr="00544E3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6" w:rsidRPr="0070723F" w:rsidRDefault="008E69E6" w:rsidP="00544E3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23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544E3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2C6AF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5CA" w:rsidRPr="0070723F" w:rsidTr="00544E3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205CA" w:rsidRPr="0070723F" w:rsidTr="00544E3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4205CA" w:rsidRPr="00C57531" w:rsidRDefault="004205CA" w:rsidP="004205CA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205CA" w:rsidRPr="00C57531" w:rsidRDefault="00554676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205CA" w:rsidRPr="00C57531" w:rsidRDefault="004205CA" w:rsidP="004205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9E6" w:rsidRPr="0070723F" w:rsidRDefault="008E69E6" w:rsidP="008E69E6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E69E6" w:rsidRPr="0070723F" w:rsidTr="00544E3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E69E6" w:rsidRPr="0070723F" w:rsidRDefault="008E69E6" w:rsidP="00544E3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901BB3" w:rsidRPr="0070723F" w:rsidTr="00544E3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01BB3" w:rsidRPr="00D12B4A" w:rsidRDefault="00901BB3" w:rsidP="00901BB3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901BB3" w:rsidRPr="0070723F" w:rsidTr="00544E3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01BB3" w:rsidRPr="00D12B4A" w:rsidRDefault="00901BB3" w:rsidP="00901BB3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901BB3" w:rsidRPr="00D12B4A" w:rsidRDefault="00901BB3" w:rsidP="00901BB3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DPE-RS 014/2019 - </w:t>
            </w:r>
            <w:r w:rsidRPr="00544E3D">
              <w:rPr>
                <w:rFonts w:ascii="Times New Roman" w:hAnsi="Times New Roman"/>
                <w:sz w:val="20"/>
                <w:szCs w:val="22"/>
              </w:rPr>
              <w:t>Aprova a Portaria Normativa que regulamenta, no âmbito do Conselho de Arquitetura e Urbanismo do Rio Grande do Sul – CAU/RS, a utilização do Superávit Financeiro</w:t>
            </w:r>
            <w:r w:rsidRPr="007F1526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901BB3" w:rsidRPr="00D12B4A" w:rsidRDefault="00901BB3" w:rsidP="00901BB3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9E6" w:rsidRPr="0070723F" w:rsidTr="00544E3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E69E6" w:rsidRPr="0070723F" w:rsidRDefault="008E69E6" w:rsidP="006054E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(</w:t>
            </w:r>
            <w:r w:rsidR="006054E2">
              <w:rPr>
                <w:rFonts w:ascii="Times New Roman" w:hAnsi="Times New Roman"/>
                <w:sz w:val="20"/>
                <w:szCs w:val="20"/>
              </w:rPr>
              <w:t>14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="0039571F">
              <w:rPr>
                <w:rFonts w:ascii="Times New Roman" w:hAnsi="Times New Roman"/>
                <w:sz w:val="20"/>
                <w:szCs w:val="20"/>
              </w:rPr>
              <w:t>(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(</w:t>
            </w:r>
            <w:r w:rsidR="006054E2">
              <w:rPr>
                <w:rFonts w:ascii="Times New Roman" w:hAnsi="Times New Roman"/>
                <w:sz w:val="20"/>
                <w:szCs w:val="20"/>
              </w:rPr>
              <w:t>01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="0039571F">
              <w:rPr>
                <w:rFonts w:ascii="Times New Roman" w:hAnsi="Times New Roman"/>
                <w:sz w:val="20"/>
                <w:szCs w:val="20"/>
              </w:rPr>
              <w:t>(</w:t>
            </w:r>
            <w:r w:rsidR="006054E2">
              <w:rPr>
                <w:rFonts w:ascii="Times New Roman" w:hAnsi="Times New Roman"/>
                <w:sz w:val="20"/>
                <w:szCs w:val="20"/>
              </w:rPr>
              <w:t>03</w:t>
            </w:r>
            <w:r w:rsidR="0039571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8E69E6" w:rsidRPr="0070723F" w:rsidTr="00544E3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E69E6" w:rsidRPr="0070723F" w:rsidRDefault="008E69E6" w:rsidP="00544E3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8E69E6" w:rsidRPr="0070723F" w:rsidTr="00544E3D">
        <w:trPr>
          <w:trHeight w:val="257"/>
        </w:trPr>
        <w:tc>
          <w:tcPr>
            <w:tcW w:w="4530" w:type="dxa"/>
            <w:shd w:val="clear" w:color="auto" w:fill="D9D9D9"/>
          </w:tcPr>
          <w:p w:rsidR="008E69E6" w:rsidRPr="0070723F" w:rsidRDefault="008E69E6" w:rsidP="00544E3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333B92" w:rsidRPr="0070723F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70723F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8E69E6" w:rsidRPr="0070723F" w:rsidRDefault="008E69E6" w:rsidP="00544E3D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723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70723F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8E69E6" w:rsidRPr="0070723F" w:rsidRDefault="008E69E6" w:rsidP="008E69E6">
      <w:pPr>
        <w:ind w:right="842"/>
        <w:jc w:val="both"/>
        <w:rPr>
          <w:rFonts w:ascii="Times New Roman" w:hAnsi="Times New Roman"/>
          <w:sz w:val="22"/>
        </w:rPr>
      </w:pPr>
    </w:p>
    <w:p w:rsidR="0070723F" w:rsidRPr="0070723F" w:rsidRDefault="0070723F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70723F">
        <w:rPr>
          <w:rFonts w:ascii="Times New Roman" w:hAnsi="Times New Roman"/>
          <w:sz w:val="22"/>
          <w:szCs w:val="22"/>
        </w:rPr>
        <w:br w:type="page"/>
      </w:r>
    </w:p>
    <w:p w:rsidR="006D21EB" w:rsidRDefault="006D21EB" w:rsidP="006D21E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ANEXO I </w:t>
      </w:r>
    </w:p>
    <w:p w:rsidR="006D21EB" w:rsidRDefault="006D21EB" w:rsidP="006D21E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DPE-RS Nº 014/2019</w:t>
      </w:r>
    </w:p>
    <w:p w:rsidR="006D21EB" w:rsidRDefault="006D21EB" w:rsidP="006D21EB">
      <w:pPr>
        <w:spacing w:line="276" w:lineRule="auto"/>
        <w:jc w:val="center"/>
        <w:rPr>
          <w:rFonts w:ascii="Times New Roman" w:hAnsi="Times New Roman"/>
          <w:szCs w:val="22"/>
        </w:rPr>
      </w:pPr>
    </w:p>
    <w:p w:rsidR="006D21EB" w:rsidRPr="00370A76" w:rsidRDefault="006D21EB" w:rsidP="006D21EB">
      <w:pPr>
        <w:spacing w:line="276" w:lineRule="auto"/>
        <w:jc w:val="center"/>
        <w:rPr>
          <w:rFonts w:ascii="Times New Roman" w:hAnsi="Times New Roman"/>
          <w:szCs w:val="22"/>
        </w:rPr>
      </w:pPr>
      <w:r w:rsidRPr="00370A76">
        <w:rPr>
          <w:rFonts w:ascii="Times New Roman" w:hAnsi="Times New Roman"/>
          <w:szCs w:val="22"/>
        </w:rPr>
        <w:t xml:space="preserve">PORTARIA NORMATIVA N° </w:t>
      </w:r>
      <w:proofErr w:type="spellStart"/>
      <w:r w:rsidRPr="00370A76">
        <w:rPr>
          <w:rFonts w:ascii="Times New Roman" w:hAnsi="Times New Roman"/>
          <w:szCs w:val="22"/>
        </w:rPr>
        <w:t>xxx</w:t>
      </w:r>
      <w:proofErr w:type="spellEnd"/>
      <w:r w:rsidRPr="00370A76">
        <w:rPr>
          <w:rFonts w:ascii="Times New Roman" w:hAnsi="Times New Roman"/>
          <w:szCs w:val="22"/>
        </w:rPr>
        <w:t xml:space="preserve">, DE </w:t>
      </w:r>
      <w:proofErr w:type="spellStart"/>
      <w:r w:rsidRPr="00370A76">
        <w:rPr>
          <w:rFonts w:ascii="Times New Roman" w:hAnsi="Times New Roman"/>
          <w:szCs w:val="22"/>
        </w:rPr>
        <w:t>xx</w:t>
      </w:r>
      <w:proofErr w:type="spellEnd"/>
      <w:r w:rsidRPr="00370A76">
        <w:rPr>
          <w:rFonts w:ascii="Times New Roman" w:hAnsi="Times New Roman"/>
          <w:szCs w:val="22"/>
        </w:rPr>
        <w:t xml:space="preserve"> DE </w:t>
      </w:r>
      <w:proofErr w:type="spellStart"/>
      <w:r w:rsidRPr="00370A76">
        <w:rPr>
          <w:rFonts w:ascii="Times New Roman" w:hAnsi="Times New Roman"/>
          <w:szCs w:val="22"/>
        </w:rPr>
        <w:t>xxx</w:t>
      </w:r>
      <w:proofErr w:type="spellEnd"/>
      <w:r w:rsidRPr="00370A76">
        <w:rPr>
          <w:rFonts w:ascii="Times New Roman" w:hAnsi="Times New Roman"/>
          <w:szCs w:val="22"/>
        </w:rPr>
        <w:t xml:space="preserve"> DE 2019.</w:t>
      </w:r>
    </w:p>
    <w:p w:rsidR="006D21EB" w:rsidRPr="00370A76" w:rsidRDefault="006D21EB" w:rsidP="006D21EB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tabs>
          <w:tab w:val="center" w:pos="4252"/>
          <w:tab w:val="left" w:pos="5355"/>
        </w:tabs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  <w:r w:rsidRPr="00370A76">
        <w:rPr>
          <w:rFonts w:ascii="Times New Roman" w:hAnsi="Times New Roman"/>
          <w:sz w:val="22"/>
          <w:szCs w:val="22"/>
        </w:rPr>
        <w:t>Dispõe acerca da utilização do superávit financeiro do CAU/RS.</w:t>
      </w:r>
    </w:p>
    <w:p w:rsidR="006D21EB" w:rsidRPr="00370A76" w:rsidRDefault="006D21EB" w:rsidP="006D21E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tabs>
          <w:tab w:val="left" w:pos="709"/>
        </w:tabs>
        <w:suppressAutoHyphens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 xml:space="preserve">O </w:t>
      </w:r>
      <w:r w:rsidRPr="00370A76">
        <w:rPr>
          <w:rFonts w:ascii="Times New Roman" w:hAnsi="Times New Roman"/>
          <w:sz w:val="22"/>
          <w:szCs w:val="22"/>
        </w:rPr>
        <w:t>Presidente</w:t>
      </w:r>
      <w:r w:rsidRPr="00370A76"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 do </w:t>
      </w:r>
      <w:r w:rsidRPr="00370A76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 xml:space="preserve">, no uso de suas atribuições e tendo em vista o disposto no </w:t>
      </w:r>
      <w:r w:rsidRPr="00370A76">
        <w:rPr>
          <w:rFonts w:ascii="Times New Roman" w:hAnsi="Times New Roman"/>
          <w:sz w:val="22"/>
          <w:szCs w:val="22"/>
        </w:rPr>
        <w:t>art. 35, inciso III, da Lei nº 12.378, de 31 de dezembro de 201</w:t>
      </w: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0 e no art. 152, do Regimento Interno do CAU/RS;</w:t>
      </w:r>
    </w:p>
    <w:p w:rsidR="006D21EB" w:rsidRPr="00370A76" w:rsidRDefault="006D21EB" w:rsidP="006D21EB">
      <w:pPr>
        <w:tabs>
          <w:tab w:val="left" w:pos="709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o CAU/RS, enquanto autarquia federal, está submetido às normas gerais de direito financeiro para elaboração e controle dos orçamentos e balanços previstas na Lei nº 4.320, de 17 de março de 1964;</w:t>
      </w:r>
    </w:p>
    <w:p w:rsidR="006D21EB" w:rsidRPr="00370A76" w:rsidRDefault="006D21EB" w:rsidP="006D21EB">
      <w:pPr>
        <w:suppressAutoHyphens/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a Lei 4.320, de 17 de março de 1964, autoriza inclusão, nas propostas orçamentárias anuais, de créditos adicionais, destinados a reforço de dotação orçamentária;</w:t>
      </w:r>
    </w:p>
    <w:p w:rsidR="006D21EB" w:rsidRPr="00370A76" w:rsidRDefault="006D21EB" w:rsidP="006D21EB">
      <w:pPr>
        <w:tabs>
          <w:tab w:val="left" w:pos="709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o CAU/RS dispõe de recursos de superávit financeiro, apurado em exercícios anteriores;</w:t>
      </w: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que o CAU/BR, nos termos da Deliberação plenária DPOBR nº 0084-03/2018, deliberou pela autorização da utilização de superávit financeiro, apurado em balanço patrimonial do exercício anterior, em despesas de capital e em projetos específicos com seus respectivos Planos de Trabalho e com duração não superior a um exercício, de caráter não continuado, </w:t>
      </w:r>
      <w:r w:rsidRPr="00370A76">
        <w:rPr>
          <w:rFonts w:ascii="Times New Roman" w:eastAsia="Times New Roman" w:hAnsi="Times New Roman"/>
          <w:color w:val="000000" w:themeColor="text1"/>
          <w:sz w:val="22"/>
          <w:szCs w:val="22"/>
          <w:lang w:eastAsia="pt-BR"/>
        </w:rPr>
        <w:t>em ações cuja realização seja suportada por despesas de natureza corrente;</w:t>
      </w:r>
    </w:p>
    <w:p w:rsidR="006D21EB" w:rsidRPr="00370A76" w:rsidRDefault="006D21EB" w:rsidP="006D21E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na Deliberação Plenária citada anteriormente, ficaram definidos os critérios para apuração do superávit financeiro, assim como a exigência de aprovação pelas Comissões de Planejamento e Finanças e Plenários dos CAU/UF;</w:t>
      </w: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a necessidade de estabelecimento de critérios e percentuais de uso dos recursos disponíveis em superávit financeiro, para utilização pelo CAU/RS;</w:t>
      </w: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70A76">
        <w:rPr>
          <w:rFonts w:ascii="Times New Roman" w:eastAsia="Times New Roman" w:hAnsi="Times New Roman"/>
          <w:sz w:val="22"/>
          <w:szCs w:val="22"/>
          <w:lang w:eastAsia="pt-BR"/>
        </w:rPr>
        <w:t>Considerando que a Lei nº 4.320/64 apresenta mecanismos que permitem que sejam feitos os devidos ajustes para que a execução do orçamento não seja interrompida por falta de disponibilidade orçamentária. Ela oferece, a opção de ajustar o orçamento por meio de créditos adicionais, os quais estão definidos no art. 41, cuja função é a autorização de despesas não computadas ou insuficientemente dotadas no orçamento.</w:t>
      </w: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tabs>
          <w:tab w:val="left" w:pos="709"/>
          <w:tab w:val="center" w:pos="4252"/>
          <w:tab w:val="left" w:pos="5355"/>
        </w:tabs>
        <w:rPr>
          <w:rFonts w:ascii="Times New Roman" w:hAnsi="Times New Roman"/>
          <w:b/>
          <w:sz w:val="22"/>
          <w:szCs w:val="22"/>
        </w:rPr>
      </w:pPr>
      <w:r w:rsidRPr="00370A76">
        <w:rPr>
          <w:rFonts w:ascii="Times New Roman" w:hAnsi="Times New Roman"/>
          <w:b/>
          <w:sz w:val="22"/>
          <w:szCs w:val="22"/>
        </w:rPr>
        <w:t>RESOLVE:</w:t>
      </w: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CAPITULO I</w:t>
      </w: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DAS DISPOSIÇÕES GERAIS</w:t>
      </w:r>
    </w:p>
    <w:p w:rsidR="006D21EB" w:rsidRPr="00370A76" w:rsidRDefault="006D21EB" w:rsidP="006D21EB">
      <w:pPr>
        <w:suppressAutoHyphens/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6D21EB" w:rsidRPr="00370A76" w:rsidRDefault="006D21EB" w:rsidP="006D21EB">
      <w:pPr>
        <w:suppressAutoHyphens/>
        <w:ind w:firstLine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Os créditos adicionais, com utilização de recursos provenientes do superávit financeiro, só poderão ser aber</w:t>
      </w:r>
      <w:r>
        <w:rPr>
          <w:rFonts w:ascii="Times New Roman" w:hAnsi="Times New Roman"/>
        </w:rPr>
        <w:t>tos com autorização do Plenário;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Parágrafo único. Os créditos adicionais tem por finalidade sua agregação às dotações preliminarmente autorizadas na resolução que aprovou o orçamento, tanto pela insuficiência da dotação original, quanto pela inserção no orçamento de despesas não previstas e necessárias ao atendimento de det</w:t>
      </w:r>
      <w:r>
        <w:rPr>
          <w:rFonts w:ascii="Times New Roman" w:hAnsi="Times New Roman"/>
        </w:rPr>
        <w:t>erminados projetos do Conselho;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A abertura de crédito adicional só será possível se houver fonte de recursos disponíveis, e será pr</w:t>
      </w:r>
      <w:r>
        <w:rPr>
          <w:rFonts w:ascii="Times New Roman" w:hAnsi="Times New Roman"/>
        </w:rPr>
        <w:t>ecedida de exposição de motivos;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CAPITULO II</w:t>
      </w: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DA UTILIZAÇÃO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A utilização de superávit fina</w:t>
      </w:r>
      <w:r>
        <w:rPr>
          <w:rFonts w:ascii="Times New Roman" w:hAnsi="Times New Roman"/>
        </w:rPr>
        <w:t>nceiro de exercícios anteriores</w:t>
      </w:r>
      <w:r w:rsidRPr="00370A76">
        <w:rPr>
          <w:rFonts w:ascii="Times New Roman" w:hAnsi="Times New Roman"/>
        </w:rPr>
        <w:t xml:space="preserve"> só será permitida em despesas de capital e ou em despesas correntes quando provenientes de projetos especiais com duração não superior a um exercício, de caráter não continuado, em ações cuja realização seja suportada por despesas de natureza corrente, com apresentação de Plano de Trabalho, com estudo detalhado dos custos e da manutenção do projeto;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A utilização de recursos do superávit financeiro para aplicação em projetos especiais deverá ser previamente aprovada pela Comissão de Planejamento e Finanças e pelo Plenário do CAU/RS;</w:t>
      </w:r>
    </w:p>
    <w:p w:rsidR="006D21EB" w:rsidRPr="00370A76" w:rsidRDefault="006D21EB" w:rsidP="006D21EB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Deve-se</w:t>
      </w:r>
      <w:r w:rsidRPr="00370A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respeitar </w:t>
      </w:r>
      <w:r w:rsidRPr="00370A76">
        <w:rPr>
          <w:rFonts w:ascii="Times New Roman" w:hAnsi="Times New Roman"/>
        </w:rPr>
        <w:t>às vedações de utilização de</w:t>
      </w:r>
      <w:r>
        <w:rPr>
          <w:rFonts w:ascii="Times New Roman" w:hAnsi="Times New Roman"/>
        </w:rPr>
        <w:t xml:space="preserve"> receitas</w:t>
      </w:r>
      <w:r w:rsidRPr="00370A76">
        <w:rPr>
          <w:rFonts w:ascii="Times New Roman" w:hAnsi="Times New Roman"/>
        </w:rPr>
        <w:t xml:space="preserve"> de capital em despesas correntes, previstas na legislação vigente</w:t>
      </w:r>
      <w:r>
        <w:rPr>
          <w:rFonts w:ascii="Times New Roman" w:hAnsi="Times New Roman"/>
        </w:rPr>
        <w:t>;</w:t>
      </w:r>
    </w:p>
    <w:p w:rsidR="006D21EB" w:rsidRPr="00370A76" w:rsidRDefault="006D21EB" w:rsidP="006D21EB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 xml:space="preserve">Os créditos provenientes da utilização do superávit financeiro devem ser utilizados nas contratações direta e exclusivamente vinculadas aos projetos aprovados </w:t>
      </w:r>
      <w:r>
        <w:rPr>
          <w:rFonts w:ascii="Times New Roman" w:hAnsi="Times New Roman"/>
        </w:rPr>
        <w:t>pelo Conselho Diretor,</w:t>
      </w:r>
      <w:r w:rsidRPr="00370A76">
        <w:rPr>
          <w:rFonts w:ascii="Times New Roman" w:hAnsi="Times New Roman"/>
        </w:rPr>
        <w:t xml:space="preserve"> no que tange ao mérito, para posterior encaminhamento à Comissão de Planejamento e Finanças para aprovação dos recursos, devendo ser homologados pelo Plenário do CAU/RS</w:t>
      </w:r>
      <w:r>
        <w:rPr>
          <w:rFonts w:ascii="Times New Roman" w:hAnsi="Times New Roman"/>
        </w:rPr>
        <w:t>;</w:t>
      </w:r>
    </w:p>
    <w:p w:rsidR="006D21EB" w:rsidRPr="00370A76" w:rsidRDefault="006D21EB" w:rsidP="006D21EB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 xml:space="preserve">O Plano de Trabalho deverá ser apresentado conforme modelo anexo a esta </w:t>
      </w:r>
      <w:r>
        <w:rPr>
          <w:rFonts w:ascii="Times New Roman" w:hAnsi="Times New Roman"/>
        </w:rPr>
        <w:t>Portaria</w:t>
      </w:r>
      <w:r w:rsidRPr="00370A76">
        <w:rPr>
          <w:rFonts w:ascii="Times New Roman" w:hAnsi="Times New Roman"/>
        </w:rPr>
        <w:t xml:space="preserve"> Normativa;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CAPITULO III</w:t>
      </w: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DO VALOR</w:t>
      </w:r>
    </w:p>
    <w:p w:rsidR="006D21EB" w:rsidRPr="00370A76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t>Os projetos especiais a serem custeados com recursos do superávit financeiro poderão utilizar, a cada exercício, no máximo 15% do montante acumulado como superávit financeiro, verificado no exercício em que</w:t>
      </w:r>
      <w:r>
        <w:rPr>
          <w:rFonts w:ascii="Times New Roman" w:hAnsi="Times New Roman"/>
        </w:rPr>
        <w:t xml:space="preserve"> os projetos forem apresentados;</w:t>
      </w:r>
    </w:p>
    <w:p w:rsidR="006D21EB" w:rsidRPr="00370A76" w:rsidRDefault="006D21EB" w:rsidP="006D21EB">
      <w:pPr>
        <w:pStyle w:val="PargrafodaLista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caso d</w:t>
      </w:r>
      <w:r w:rsidRPr="00370A76">
        <w:rPr>
          <w:rFonts w:ascii="Times New Roman" w:hAnsi="Times New Roman"/>
        </w:rPr>
        <w:t>o projeto resultar em despesas de caráter continuado, deverá constar no estudo detalhado dos custos a demonstração de que o orçamento corrente suportará as desp</w:t>
      </w:r>
      <w:r>
        <w:rPr>
          <w:rFonts w:ascii="Times New Roman" w:hAnsi="Times New Roman"/>
        </w:rPr>
        <w:t>esas provenientes deste projeto;</w:t>
      </w:r>
    </w:p>
    <w:p w:rsidR="006D21EB" w:rsidRPr="00370A76" w:rsidRDefault="006D21EB" w:rsidP="006D21EB">
      <w:pPr>
        <w:rPr>
          <w:rFonts w:ascii="Times New Roman" w:hAnsi="Times New Roman"/>
          <w:sz w:val="22"/>
          <w:szCs w:val="22"/>
        </w:rPr>
      </w:pP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 xml:space="preserve">CAPÍTULO IV </w:t>
      </w:r>
    </w:p>
    <w:p w:rsidR="006D21EB" w:rsidRPr="00370A76" w:rsidRDefault="006D21EB" w:rsidP="006D21EB">
      <w:pPr>
        <w:suppressAutoHyphens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70A76">
        <w:rPr>
          <w:rFonts w:ascii="Times New Roman" w:eastAsia="Times New Roman" w:hAnsi="Times New Roman"/>
          <w:b/>
          <w:sz w:val="22"/>
          <w:szCs w:val="22"/>
        </w:rPr>
        <w:t>DAS DISPOSIÇÕES FINAIS</w:t>
      </w:r>
    </w:p>
    <w:p w:rsidR="006D21EB" w:rsidRPr="00370A76" w:rsidRDefault="006D21EB" w:rsidP="006D21EB">
      <w:pPr>
        <w:pStyle w:val="PargrafodaLista"/>
        <w:rPr>
          <w:rFonts w:ascii="Times New Roman" w:hAnsi="Times New Roman"/>
        </w:rPr>
      </w:pPr>
    </w:p>
    <w:p w:rsidR="006D21EB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</w:rPr>
        <w:lastRenderedPageBreak/>
        <w:t xml:space="preserve">Fica vedada a utilização dos recursos do superávit financeiro para remuneração de pessoal efetivo e de empregos de livre provimento e demissão e para demais despesas </w:t>
      </w:r>
      <w:r>
        <w:rPr>
          <w:rFonts w:ascii="Times New Roman" w:hAnsi="Times New Roman"/>
        </w:rPr>
        <w:t>correntes de caráter continuado;</w:t>
      </w:r>
    </w:p>
    <w:p w:rsidR="006D21EB" w:rsidRDefault="006D21EB" w:rsidP="006D21EB">
      <w:pPr>
        <w:pStyle w:val="PargrafodaLista"/>
        <w:suppressAutoHyphens/>
        <w:contextualSpacing w:val="0"/>
        <w:jc w:val="both"/>
        <w:rPr>
          <w:rFonts w:ascii="Times New Roman" w:hAnsi="Times New Roman"/>
        </w:rPr>
      </w:pPr>
    </w:p>
    <w:p w:rsidR="006D21EB" w:rsidRPr="00B2607C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B2607C">
        <w:rPr>
          <w:rFonts w:ascii="Times New Roman" w:hAnsi="Times New Roman"/>
        </w:rPr>
        <w:t xml:space="preserve">Os projetos especiais, custeados com superávit financeiro, farão parte do Plano de Ação e Orçamento do CAU/RS, e de suas Reprogramações, observando os procedimentos especificados nas Diretrizes de Elaboração, e as de Reprogramação, do Plano de Ação e Orçamento </w:t>
      </w:r>
      <w:r>
        <w:rPr>
          <w:rFonts w:ascii="Times New Roman" w:hAnsi="Times New Roman"/>
        </w:rPr>
        <w:t>do CAU/BR;</w:t>
      </w:r>
    </w:p>
    <w:p w:rsidR="006D21EB" w:rsidRPr="00370A76" w:rsidRDefault="006D21EB" w:rsidP="006D21EB">
      <w:pPr>
        <w:pStyle w:val="PargrafodaLista"/>
        <w:rPr>
          <w:rFonts w:ascii="Times New Roman" w:hAnsi="Times New Roman"/>
        </w:rPr>
      </w:pPr>
    </w:p>
    <w:p w:rsidR="006D21EB" w:rsidRPr="00370A76" w:rsidRDefault="006D21EB" w:rsidP="006D21EB">
      <w:pPr>
        <w:pStyle w:val="PargrafodaLista"/>
        <w:numPr>
          <w:ilvl w:val="0"/>
          <w:numId w:val="67"/>
        </w:numPr>
        <w:suppressAutoHyphens/>
        <w:ind w:left="0" w:firstLine="720"/>
        <w:contextualSpacing w:val="0"/>
        <w:jc w:val="both"/>
        <w:rPr>
          <w:rFonts w:ascii="Times New Roman" w:hAnsi="Times New Roman"/>
        </w:rPr>
      </w:pPr>
      <w:r w:rsidRPr="00370A76">
        <w:rPr>
          <w:rFonts w:ascii="Times New Roman" w:hAnsi="Times New Roman"/>
          <w:bCs/>
        </w:rPr>
        <w:t>Esta Portaria Normativa entra em vigor na data de sua publicação</w:t>
      </w:r>
      <w:r w:rsidRPr="00067360">
        <w:rPr>
          <w:bCs/>
        </w:rPr>
        <w:t>.</w:t>
      </w:r>
    </w:p>
    <w:p w:rsidR="006D21EB" w:rsidRPr="00370A76" w:rsidRDefault="006D21EB" w:rsidP="006D21EB">
      <w:pPr>
        <w:pStyle w:val="PargrafodaLista"/>
        <w:rPr>
          <w:rFonts w:ascii="Times New Roman" w:hAnsi="Times New Roman"/>
        </w:rPr>
      </w:pPr>
    </w:p>
    <w:p w:rsidR="006D21EB" w:rsidRDefault="006D21EB" w:rsidP="006D21EB">
      <w:pPr>
        <w:pStyle w:val="Textopadro"/>
        <w:spacing w:line="276" w:lineRule="auto"/>
        <w:jc w:val="center"/>
        <w:rPr>
          <w:szCs w:val="24"/>
        </w:rPr>
      </w:pPr>
    </w:p>
    <w:p w:rsidR="006D21EB" w:rsidRPr="00067360" w:rsidRDefault="006D21EB" w:rsidP="006D21EB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 xml:space="preserve">Porto Alegre – RS, </w:t>
      </w:r>
      <w:proofErr w:type="spellStart"/>
      <w:r>
        <w:rPr>
          <w:szCs w:val="24"/>
        </w:rPr>
        <w:t>xx</w:t>
      </w:r>
      <w:proofErr w:type="spellEnd"/>
      <w:r w:rsidRPr="00067360">
        <w:rPr>
          <w:szCs w:val="24"/>
        </w:rPr>
        <w:t xml:space="preserve"> de </w:t>
      </w:r>
      <w:proofErr w:type="spellStart"/>
      <w:r>
        <w:rPr>
          <w:szCs w:val="24"/>
        </w:rPr>
        <w:t>xxx</w:t>
      </w:r>
      <w:proofErr w:type="spellEnd"/>
      <w:r w:rsidRPr="00067360">
        <w:rPr>
          <w:szCs w:val="24"/>
        </w:rPr>
        <w:t xml:space="preserve"> de 201</w:t>
      </w:r>
      <w:r>
        <w:rPr>
          <w:szCs w:val="24"/>
        </w:rPr>
        <w:t>9</w:t>
      </w:r>
      <w:r w:rsidRPr="00067360">
        <w:rPr>
          <w:szCs w:val="24"/>
        </w:rPr>
        <w:t>.</w:t>
      </w:r>
    </w:p>
    <w:p w:rsidR="006D21EB" w:rsidRPr="00067360" w:rsidRDefault="006D21EB" w:rsidP="006D21EB">
      <w:pPr>
        <w:pStyle w:val="Textopadro"/>
        <w:spacing w:line="276" w:lineRule="auto"/>
        <w:jc w:val="center"/>
        <w:rPr>
          <w:b/>
          <w:szCs w:val="24"/>
        </w:rPr>
      </w:pPr>
    </w:p>
    <w:p w:rsidR="006D21EB" w:rsidRPr="00067360" w:rsidRDefault="006D21EB" w:rsidP="006D21EB">
      <w:pPr>
        <w:pStyle w:val="Textopadro"/>
        <w:spacing w:line="276" w:lineRule="auto"/>
        <w:jc w:val="center"/>
        <w:rPr>
          <w:b/>
          <w:szCs w:val="24"/>
        </w:rPr>
      </w:pPr>
    </w:p>
    <w:p w:rsidR="006D21EB" w:rsidRPr="00067360" w:rsidRDefault="006D21EB" w:rsidP="006D21EB">
      <w:pPr>
        <w:pStyle w:val="Textopadro"/>
        <w:spacing w:line="276" w:lineRule="auto"/>
        <w:jc w:val="center"/>
        <w:rPr>
          <w:b/>
          <w:szCs w:val="24"/>
        </w:rPr>
      </w:pPr>
    </w:p>
    <w:p w:rsidR="006D21EB" w:rsidRPr="00067360" w:rsidRDefault="006D21EB" w:rsidP="006D21EB">
      <w:pPr>
        <w:pStyle w:val="Textopadro"/>
        <w:spacing w:line="276" w:lineRule="auto"/>
        <w:jc w:val="center"/>
        <w:rPr>
          <w:b/>
          <w:szCs w:val="24"/>
        </w:rPr>
      </w:pPr>
      <w:r w:rsidRPr="00067360">
        <w:rPr>
          <w:b/>
          <w:szCs w:val="24"/>
        </w:rPr>
        <w:t>TIAGO HOLZMANN DA SILVA</w:t>
      </w:r>
    </w:p>
    <w:p w:rsidR="006D21EB" w:rsidRPr="00067360" w:rsidRDefault="006D21EB" w:rsidP="006D21EB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>Presidente do CAU/RS</w:t>
      </w: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21EB" w:rsidRDefault="006D21EB" w:rsidP="006D21E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6D21EB" w:rsidRPr="00370A76" w:rsidRDefault="006D21EB" w:rsidP="006D21EB">
      <w:pPr>
        <w:jc w:val="center"/>
        <w:rPr>
          <w:rFonts w:ascii="Times New Roman" w:hAnsi="Times New Roman"/>
          <w:b/>
          <w:sz w:val="22"/>
          <w:szCs w:val="22"/>
        </w:rPr>
      </w:pPr>
      <w:r w:rsidRPr="00370A76">
        <w:rPr>
          <w:rFonts w:ascii="Times New Roman" w:hAnsi="Times New Roman"/>
          <w:b/>
          <w:sz w:val="22"/>
          <w:szCs w:val="22"/>
        </w:rPr>
        <w:lastRenderedPageBreak/>
        <w:t>ANEXO I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PLANO DE TRABALHO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  <w:r w:rsidRPr="00370A76">
        <w:rPr>
          <w:b/>
          <w:sz w:val="22"/>
          <w:szCs w:val="22"/>
          <w:highlight w:val="lightGray"/>
        </w:rPr>
        <w:t>[NOME DO EVENTO, PROJETO OU AÇÃO]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785"/>
        <w:gridCol w:w="4779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1. Dados cadastrais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  <w:r w:rsidRPr="00370A76">
              <w:rPr>
                <w:b w:val="0"/>
                <w:bCs w:val="0"/>
                <w:sz w:val="22"/>
                <w:szCs w:val="22"/>
              </w:rPr>
              <w:t>Equipe Responsável:</w:t>
            </w:r>
          </w:p>
        </w:tc>
        <w:tc>
          <w:tcPr>
            <w:tcW w:w="4811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CPF: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781"/>
        <w:gridCol w:w="4783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2. Proposta de trabalho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Nome do projeto:</w:t>
            </w:r>
          </w:p>
        </w:tc>
        <w:tc>
          <w:tcPr>
            <w:tcW w:w="4811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Prazo de Execução: </w:t>
            </w:r>
            <w:r w:rsidRPr="00370A76">
              <w:rPr>
                <w:sz w:val="22"/>
                <w:szCs w:val="22"/>
              </w:rPr>
              <w:tab/>
              <w:t xml:space="preserve">de </w:t>
            </w:r>
            <w:r w:rsidRPr="00370A76">
              <w:rPr>
                <w:sz w:val="22"/>
                <w:szCs w:val="22"/>
                <w:highlight w:val="lightGray"/>
              </w:rPr>
              <w:t>[mês/2019] a [mês/2019]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Público alvo: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Objeto: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Monitoramento e avaliação: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564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3. Objetivos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Gerais: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Específicos: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564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4. Metodologia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4"/>
      </w:tblGrid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/>
                <w:sz w:val="22"/>
                <w:szCs w:val="22"/>
              </w:rPr>
            </w:pPr>
            <w:r w:rsidRPr="00370A76">
              <w:rPr>
                <w:b/>
                <w:sz w:val="22"/>
                <w:szCs w:val="22"/>
              </w:rPr>
              <w:lastRenderedPageBreak/>
              <w:t>5. Metas, Atividades e Entregas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Descrição das metas a serem atingidas: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Descrição das atividades planejadas para o atingimento das metas: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Resultados esperados: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Indicadores para a aferição do cumprimento das metas: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2191"/>
        <w:gridCol w:w="2521"/>
        <w:gridCol w:w="1193"/>
        <w:gridCol w:w="1263"/>
        <w:gridCol w:w="1198"/>
        <w:gridCol w:w="1198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3" w:type="dxa"/>
            <w:gridSpan w:val="6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6. Cronograma de execução física das atividades</w:t>
            </w:r>
          </w:p>
        </w:tc>
      </w:tr>
      <w:tr w:rsidR="006D21EB" w:rsidRPr="00370A76" w:rsidTr="00F52DBE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>Atividade</w:t>
            </w:r>
          </w:p>
        </w:tc>
        <w:tc>
          <w:tcPr>
            <w:tcW w:w="2576" w:type="dxa"/>
            <w:vMerge w:val="restart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Descrição da Atividade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466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Indicador físico </w:t>
            </w:r>
          </w:p>
        </w:tc>
        <w:tc>
          <w:tcPr>
            <w:tcW w:w="2406" w:type="dxa"/>
            <w:gridSpan w:val="2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Duração</w:t>
            </w:r>
          </w:p>
        </w:tc>
      </w:tr>
      <w:tr w:rsidR="006D21EB" w:rsidRPr="00370A76" w:rsidTr="00F52DBE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Unidade</w:t>
            </w: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Quantidade</w:t>
            </w: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Início</w:t>
            </w: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Término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lightGray"/>
              </w:rPr>
            </w:pPr>
            <w:proofErr w:type="gramStart"/>
            <w:r w:rsidRPr="00370A76">
              <w:rPr>
                <w:sz w:val="22"/>
                <w:szCs w:val="22"/>
                <w:highlight w:val="lightGray"/>
              </w:rPr>
              <w:t>mês</w:t>
            </w:r>
            <w:proofErr w:type="gramEnd"/>
            <w:r w:rsidRPr="00370A76">
              <w:rPr>
                <w:sz w:val="22"/>
                <w:szCs w:val="22"/>
                <w:highlight w:val="lightGray"/>
              </w:rPr>
              <w:t>/2019</w:t>
            </w: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lightGray"/>
              </w:rPr>
            </w:pPr>
            <w:proofErr w:type="gramStart"/>
            <w:r w:rsidRPr="00370A76">
              <w:rPr>
                <w:sz w:val="22"/>
                <w:szCs w:val="22"/>
                <w:highlight w:val="lightGray"/>
              </w:rPr>
              <w:t>mês</w:t>
            </w:r>
            <w:proofErr w:type="gramEnd"/>
            <w:r w:rsidRPr="00370A76">
              <w:rPr>
                <w:sz w:val="22"/>
                <w:szCs w:val="22"/>
                <w:highlight w:val="lightGray"/>
              </w:rPr>
              <w:t>/2019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2392"/>
        <w:gridCol w:w="2389"/>
        <w:gridCol w:w="2392"/>
        <w:gridCol w:w="2391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4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7. Previsão da receita e da despesa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Receita</w:t>
            </w: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Total</w:t>
            </w: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Valor mensal</w:t>
            </w: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Valor anual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Despesa</w:t>
            </w: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Total</w:t>
            </w: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Valor mensal</w:t>
            </w: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Valor anual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</w:p>
        </w:tc>
        <w:tc>
          <w:tcPr>
            <w:tcW w:w="240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65"/>
        <w:gridCol w:w="1367"/>
        <w:gridCol w:w="1366"/>
        <w:gridCol w:w="1367"/>
        <w:gridCol w:w="1367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7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8. Cronograma de desembolso (R$ 1,00)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7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lastRenderedPageBreak/>
              <w:t xml:space="preserve">Valor total do projeto: 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sz w:val="22"/>
                <w:szCs w:val="22"/>
              </w:rPr>
            </w:pPr>
            <w:r w:rsidRPr="00370A76">
              <w:rPr>
                <w:b w:val="0"/>
                <w:sz w:val="22"/>
                <w:szCs w:val="22"/>
              </w:rPr>
              <w:t xml:space="preserve">CAU/RS – R$ </w:t>
            </w:r>
            <w:r w:rsidRPr="00370A76">
              <w:rPr>
                <w:b w:val="0"/>
                <w:sz w:val="22"/>
                <w:szCs w:val="22"/>
                <w:highlight w:val="lightGray"/>
              </w:rPr>
              <w:t>[PREENCHER VALOR]</w:t>
            </w:r>
            <w:r w:rsidRPr="00370A76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  <w:r w:rsidRPr="00370A76">
              <w:rPr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1º mês</w:t>
            </w: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2º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3º mês</w:t>
            </w: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4º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5º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6º mês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  <w:r w:rsidRPr="00370A76">
              <w:rPr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7º mês</w:t>
            </w: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8º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9º mês</w:t>
            </w: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10º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370A76">
              <w:rPr>
                <w:bCs/>
                <w:sz w:val="22"/>
                <w:szCs w:val="22"/>
              </w:rPr>
              <w:t>11º mês</w:t>
            </w: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12º mês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Cs w:val="0"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Cs w:val="0"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5599"/>
        <w:gridCol w:w="2116"/>
        <w:gridCol w:w="1849"/>
      </w:tblGrid>
      <w:tr w:rsidR="006D21EB" w:rsidRPr="00370A76" w:rsidTr="00F52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9. Detalhamento da aplicação dos recursos financeiros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Descrição da despesa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0A76">
              <w:rPr>
                <w:rFonts w:ascii="Times New Roman" w:hAnsi="Times New Roman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0A76">
              <w:rPr>
                <w:rFonts w:ascii="Times New Roman" w:hAnsi="Times New Roman"/>
                <w:b/>
                <w:sz w:val="22"/>
                <w:szCs w:val="22"/>
              </w:rPr>
              <w:t>Valor em R$</w:t>
            </w: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 xml:space="preserve">Material de consumo </w:t>
            </w:r>
            <w:proofErr w:type="spellStart"/>
            <w:r w:rsidRPr="00370A7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Ex</w:t>
            </w:r>
            <w:proofErr w:type="spellEnd"/>
            <w:r w:rsidRPr="00370A7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: 100 Blocos para anotações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370A7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material de expediente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 xml:space="preserve">Serviços de terceiros – Pessoa Física </w:t>
            </w:r>
            <w:proofErr w:type="spellStart"/>
            <w:r w:rsidRPr="00370A76">
              <w:rPr>
                <w:rFonts w:ascii="Times New Roman" w:hAnsi="Times New Roman"/>
                <w:b w:val="0"/>
                <w:sz w:val="22"/>
                <w:szCs w:val="22"/>
              </w:rPr>
              <w:t>Ex</w:t>
            </w:r>
            <w:proofErr w:type="spellEnd"/>
            <w:r w:rsidRPr="00370A76">
              <w:rPr>
                <w:rFonts w:ascii="Times New Roman" w:hAnsi="Times New Roman"/>
                <w:b w:val="0"/>
                <w:sz w:val="22"/>
                <w:szCs w:val="22"/>
              </w:rPr>
              <w:t>: diárias, Palestrante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 xml:space="preserve">Serviços de Terceiros – Pessoa Jurídica </w:t>
            </w:r>
            <w:proofErr w:type="spellStart"/>
            <w:r w:rsidRPr="00370A76">
              <w:rPr>
                <w:rFonts w:ascii="Times New Roman" w:hAnsi="Times New Roman"/>
                <w:b w:val="0"/>
                <w:sz w:val="22"/>
                <w:szCs w:val="22"/>
              </w:rPr>
              <w:t>Ex</w:t>
            </w:r>
            <w:proofErr w:type="spellEnd"/>
            <w:r w:rsidRPr="00370A76">
              <w:rPr>
                <w:rFonts w:ascii="Times New Roman" w:hAnsi="Times New Roman"/>
                <w:b w:val="0"/>
                <w:sz w:val="22"/>
                <w:szCs w:val="22"/>
              </w:rPr>
              <w:t>: Agência de publicidade, empresa de eventos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Equipamentos e materiais permanentes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>Total Geral</w:t>
            </w: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21EB" w:rsidRPr="00370A76" w:rsidTr="00F52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Total por tipo de despesa: 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01 -R$ </w:t>
            </w:r>
            <w:r w:rsidRPr="00370A76">
              <w:rPr>
                <w:sz w:val="22"/>
                <w:szCs w:val="22"/>
                <w:highlight w:val="lightGray"/>
              </w:rPr>
              <w:t>0,00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02 -R$ </w:t>
            </w:r>
            <w:r w:rsidRPr="00370A76">
              <w:rPr>
                <w:sz w:val="22"/>
                <w:szCs w:val="22"/>
                <w:highlight w:val="lightGray"/>
              </w:rPr>
              <w:t>0,00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03 –R$ </w:t>
            </w:r>
            <w:r w:rsidRPr="00370A76">
              <w:rPr>
                <w:sz w:val="22"/>
                <w:szCs w:val="22"/>
                <w:highlight w:val="lightGray"/>
              </w:rPr>
              <w:t>0,00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04 –R$ </w:t>
            </w:r>
            <w:r w:rsidRPr="00370A76">
              <w:rPr>
                <w:sz w:val="22"/>
                <w:szCs w:val="22"/>
                <w:highlight w:val="lightGray"/>
              </w:rPr>
              <w:t>0,00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05 - R$ </w:t>
            </w:r>
            <w:r w:rsidRPr="00370A76">
              <w:rPr>
                <w:sz w:val="22"/>
                <w:szCs w:val="22"/>
                <w:highlight w:val="lightGray"/>
              </w:rPr>
              <w:t>0,00</w:t>
            </w:r>
          </w:p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Times New Roman" w:hAnsi="Times New Roman"/>
                <w:sz w:val="22"/>
                <w:szCs w:val="22"/>
              </w:rPr>
            </w:pPr>
            <w:r w:rsidRPr="00370A76">
              <w:rPr>
                <w:rFonts w:ascii="Times New Roman" w:hAnsi="Times New Roman"/>
                <w:sz w:val="22"/>
                <w:szCs w:val="22"/>
              </w:rPr>
              <w:t xml:space="preserve">06 –R$ </w:t>
            </w:r>
            <w:r w:rsidRPr="00370A76">
              <w:rPr>
                <w:rFonts w:ascii="Times New Roman" w:hAnsi="Times New Roman"/>
                <w:sz w:val="22"/>
                <w:szCs w:val="22"/>
                <w:highlight w:val="lightGray"/>
              </w:rPr>
              <w:t>0,00</w:t>
            </w:r>
          </w:p>
        </w:tc>
        <w:tc>
          <w:tcPr>
            <w:tcW w:w="2126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9" w:type="dxa"/>
          </w:tcPr>
          <w:p w:rsidR="006D21EB" w:rsidRPr="00370A76" w:rsidRDefault="006D21EB" w:rsidP="00F52DB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Legenda para os tipos de despesa: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01</w:t>
      </w:r>
      <w:r w:rsidRPr="00370A76">
        <w:rPr>
          <w:b/>
          <w:sz w:val="22"/>
          <w:szCs w:val="22"/>
        </w:rPr>
        <w:tab/>
        <w:t>Material de consumo;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02</w:t>
      </w:r>
      <w:r w:rsidRPr="00370A76">
        <w:rPr>
          <w:b/>
          <w:sz w:val="22"/>
          <w:szCs w:val="22"/>
        </w:rPr>
        <w:tab/>
        <w:t>Serviços de Terceiros – Pessoa Física;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03</w:t>
      </w:r>
      <w:r w:rsidRPr="00370A76">
        <w:rPr>
          <w:b/>
          <w:sz w:val="22"/>
          <w:szCs w:val="22"/>
        </w:rPr>
        <w:tab/>
        <w:t>Serviços de Terceiros – Pessoa Jurídica;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04</w:t>
      </w:r>
      <w:r w:rsidRPr="00370A76">
        <w:rPr>
          <w:b/>
          <w:sz w:val="22"/>
          <w:szCs w:val="22"/>
        </w:rPr>
        <w:tab/>
        <w:t>Custo indiretos (percentual de energia, telefone, internet, etc. alocado ao projeto);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05</w:t>
      </w:r>
      <w:r w:rsidRPr="00370A76">
        <w:rPr>
          <w:b/>
          <w:sz w:val="22"/>
          <w:szCs w:val="22"/>
        </w:rPr>
        <w:tab/>
        <w:t>Equipe da proponente encarregada pela execução (percentual alocado ao projeto);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b/>
          <w:sz w:val="22"/>
          <w:szCs w:val="22"/>
        </w:rPr>
      </w:pPr>
      <w:r w:rsidRPr="00370A76">
        <w:rPr>
          <w:b/>
          <w:sz w:val="22"/>
          <w:szCs w:val="22"/>
        </w:rPr>
        <w:t>06</w:t>
      </w:r>
      <w:r w:rsidRPr="00370A76">
        <w:rPr>
          <w:b/>
          <w:sz w:val="22"/>
          <w:szCs w:val="22"/>
        </w:rPr>
        <w:tab/>
        <w:t>Equipamentos e materiais permanentes.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64"/>
      </w:tblGrid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b/>
                <w:sz w:val="22"/>
                <w:szCs w:val="22"/>
              </w:rPr>
            </w:pPr>
            <w:r w:rsidRPr="00370A76">
              <w:rPr>
                <w:b/>
                <w:sz w:val="22"/>
                <w:szCs w:val="22"/>
              </w:rPr>
              <w:t>10. Aprovação do plano de trabalho pelo CAU/RS</w:t>
            </w:r>
          </w:p>
        </w:tc>
      </w:tr>
      <w:tr w:rsidR="006D21EB" w:rsidRPr="00370A76" w:rsidTr="00F52DBE">
        <w:tc>
          <w:tcPr>
            <w:tcW w:w="9622" w:type="dxa"/>
          </w:tcPr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proofErr w:type="gramStart"/>
            <w:r w:rsidRPr="00370A76">
              <w:rPr>
                <w:sz w:val="22"/>
                <w:szCs w:val="22"/>
              </w:rPr>
              <w:t xml:space="preserve">(  </w:t>
            </w:r>
            <w:proofErr w:type="gramEnd"/>
            <w:r w:rsidRPr="00370A76">
              <w:rPr>
                <w:sz w:val="22"/>
                <w:szCs w:val="22"/>
              </w:rPr>
              <w:t xml:space="preserve"> ) Aprovado pela Comissão de Planejamento e Finanças;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 xml:space="preserve"> </w:t>
            </w:r>
            <w:proofErr w:type="gramStart"/>
            <w:r w:rsidRPr="00370A76">
              <w:rPr>
                <w:sz w:val="22"/>
                <w:szCs w:val="22"/>
              </w:rPr>
              <w:t xml:space="preserve">(  </w:t>
            </w:r>
            <w:proofErr w:type="gramEnd"/>
            <w:r w:rsidRPr="00370A76">
              <w:rPr>
                <w:sz w:val="22"/>
                <w:szCs w:val="22"/>
              </w:rPr>
              <w:t xml:space="preserve"> ) Aprovado com ressalvas, com possibilidade de celebração da parceria, devendo o administrador público exigir o cumprimento do que houver sido ressalvado ou, mediante ato formal, justificar as razões pelas quais deixou de fazê-lo;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proofErr w:type="gramStart"/>
            <w:r w:rsidRPr="00370A76">
              <w:rPr>
                <w:sz w:val="22"/>
                <w:szCs w:val="22"/>
              </w:rPr>
              <w:t xml:space="preserve">(  </w:t>
            </w:r>
            <w:proofErr w:type="gramEnd"/>
            <w:r w:rsidRPr="00370A76">
              <w:rPr>
                <w:sz w:val="22"/>
                <w:szCs w:val="22"/>
              </w:rPr>
              <w:t xml:space="preserve"> ) Reprovado.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Local e data</w:t>
            </w: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</w:p>
          <w:p w:rsidR="006D21EB" w:rsidRPr="00370A76" w:rsidRDefault="006D21EB" w:rsidP="00F52DB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sz w:val="22"/>
                <w:szCs w:val="22"/>
              </w:rPr>
            </w:pPr>
            <w:r w:rsidRPr="00370A76">
              <w:rPr>
                <w:sz w:val="22"/>
                <w:szCs w:val="22"/>
              </w:rPr>
              <w:t>Responsável pela Comissão.</w:t>
            </w:r>
          </w:p>
        </w:tc>
      </w:tr>
    </w:tbl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both"/>
        <w:rPr>
          <w:b/>
          <w:sz w:val="22"/>
          <w:szCs w:val="22"/>
        </w:rPr>
      </w:pPr>
      <w:r w:rsidRPr="00370A76">
        <w:rPr>
          <w:sz w:val="22"/>
          <w:szCs w:val="22"/>
        </w:rPr>
        <w:t>[</w:t>
      </w:r>
      <w:r w:rsidRPr="00370A76">
        <w:rPr>
          <w:sz w:val="22"/>
          <w:szCs w:val="22"/>
          <w:highlight w:val="lightGray"/>
        </w:rPr>
        <w:t>LOCAL E DATA</w:t>
      </w:r>
      <w:r w:rsidRPr="00370A76">
        <w:rPr>
          <w:sz w:val="22"/>
          <w:szCs w:val="22"/>
        </w:rPr>
        <w:t xml:space="preserve">], </w:t>
      </w:r>
    </w:p>
    <w:p w:rsidR="006D21EB" w:rsidRPr="00370A76" w:rsidRDefault="006D21EB" w:rsidP="006D21E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  <w:r w:rsidRPr="00370A76">
        <w:rPr>
          <w:sz w:val="22"/>
          <w:szCs w:val="22"/>
          <w:highlight w:val="lightGray"/>
        </w:rPr>
        <w:t xml:space="preserve">[NOME E ASSINATURA DO RESPONSÁVEL PELA </w:t>
      </w:r>
      <w:r>
        <w:rPr>
          <w:sz w:val="22"/>
          <w:szCs w:val="22"/>
          <w:highlight w:val="lightGray"/>
        </w:rPr>
        <w:t>PROPOSTA</w:t>
      </w:r>
      <w:r w:rsidRPr="00370A76">
        <w:rPr>
          <w:sz w:val="22"/>
          <w:szCs w:val="22"/>
          <w:highlight w:val="lightGray"/>
        </w:rPr>
        <w:t>]</w:t>
      </w:r>
    </w:p>
    <w:sectPr w:rsidR="006D21EB" w:rsidRPr="00370A76" w:rsidSect="007B3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3D" w:rsidRDefault="00544E3D" w:rsidP="004C3048">
      <w:r>
        <w:separator/>
      </w:r>
    </w:p>
  </w:endnote>
  <w:endnote w:type="continuationSeparator" w:id="0">
    <w:p w:rsidR="00544E3D" w:rsidRDefault="00544E3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5950FA" w:rsidRDefault="00544E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44E3D" w:rsidRPr="005F2A2D" w:rsidRDefault="00544E3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3154B" w:rsidRDefault="00544E3D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44E3D" w:rsidRDefault="00544E3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44E3D" w:rsidRPr="003F1946" w:rsidRDefault="00544E3D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54E2">
          <w:rPr>
            <w:rFonts w:ascii="DaxCondensed" w:hAnsi="DaxCondensed" w:cs="Arial"/>
            <w:noProof/>
            <w:color w:val="2C778C"/>
            <w:sz w:val="20"/>
            <w:szCs w:val="20"/>
          </w:rPr>
          <w:t>9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44E3D" w:rsidRPr="003F1946" w:rsidRDefault="00544E3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3154B" w:rsidRDefault="00544E3D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44E3D" w:rsidRDefault="00544E3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44E3D" w:rsidRPr="003F1946" w:rsidRDefault="00544E3D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54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44E3D" w:rsidRPr="003F1946" w:rsidRDefault="00544E3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3D" w:rsidRDefault="00544E3D" w:rsidP="004C3048">
      <w:r>
        <w:separator/>
      </w:r>
    </w:p>
  </w:footnote>
  <w:footnote w:type="continuationSeparator" w:id="0">
    <w:p w:rsidR="00544E3D" w:rsidRDefault="00544E3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E4E5A" w:rsidRDefault="00544E3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Pr="009E4E5A" w:rsidRDefault="00544E3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3D" w:rsidRDefault="00544E3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E3E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5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26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1C5664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9A4DD7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435772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57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4"/>
  </w:num>
  <w:num w:numId="4">
    <w:abstractNumId w:val="38"/>
  </w:num>
  <w:num w:numId="5">
    <w:abstractNumId w:val="32"/>
  </w:num>
  <w:num w:numId="6">
    <w:abstractNumId w:val="35"/>
  </w:num>
  <w:num w:numId="7">
    <w:abstractNumId w:val="27"/>
  </w:num>
  <w:num w:numId="8">
    <w:abstractNumId w:val="3"/>
  </w:num>
  <w:num w:numId="9">
    <w:abstractNumId w:val="16"/>
  </w:num>
  <w:num w:numId="10">
    <w:abstractNumId w:val="8"/>
  </w:num>
  <w:num w:numId="11">
    <w:abstractNumId w:val="36"/>
  </w:num>
  <w:num w:numId="12">
    <w:abstractNumId w:val="23"/>
  </w:num>
  <w:num w:numId="13">
    <w:abstractNumId w:val="55"/>
  </w:num>
  <w:num w:numId="14">
    <w:abstractNumId w:val="31"/>
  </w:num>
  <w:num w:numId="15">
    <w:abstractNumId w:val="5"/>
  </w:num>
  <w:num w:numId="16">
    <w:abstractNumId w:val="28"/>
  </w:num>
  <w:num w:numId="17">
    <w:abstractNumId w:val="13"/>
  </w:num>
  <w:num w:numId="18">
    <w:abstractNumId w:val="9"/>
  </w:num>
  <w:num w:numId="19">
    <w:abstractNumId w:val="54"/>
  </w:num>
  <w:num w:numId="20">
    <w:abstractNumId w:val="49"/>
  </w:num>
  <w:num w:numId="21">
    <w:abstractNumId w:val="44"/>
  </w:num>
  <w:num w:numId="22">
    <w:abstractNumId w:val="47"/>
  </w:num>
  <w:num w:numId="23">
    <w:abstractNumId w:val="19"/>
  </w:num>
  <w:num w:numId="24">
    <w:abstractNumId w:val="42"/>
  </w:num>
  <w:num w:numId="25">
    <w:abstractNumId w:val="18"/>
  </w:num>
  <w:num w:numId="26">
    <w:abstractNumId w:val="7"/>
  </w:num>
  <w:num w:numId="27">
    <w:abstractNumId w:val="40"/>
  </w:num>
  <w:num w:numId="28">
    <w:abstractNumId w:val="46"/>
  </w:num>
  <w:num w:numId="29">
    <w:abstractNumId w:val="20"/>
  </w:num>
  <w:num w:numId="30">
    <w:abstractNumId w:val="64"/>
  </w:num>
  <w:num w:numId="31">
    <w:abstractNumId w:val="34"/>
  </w:num>
  <w:num w:numId="32">
    <w:abstractNumId w:val="15"/>
  </w:num>
  <w:num w:numId="33">
    <w:abstractNumId w:val="30"/>
  </w:num>
  <w:num w:numId="34">
    <w:abstractNumId w:val="61"/>
  </w:num>
  <w:num w:numId="35">
    <w:abstractNumId w:val="57"/>
  </w:num>
  <w:num w:numId="36">
    <w:abstractNumId w:val="45"/>
  </w:num>
  <w:num w:numId="37">
    <w:abstractNumId w:val="59"/>
  </w:num>
  <w:num w:numId="38">
    <w:abstractNumId w:val="10"/>
  </w:num>
  <w:num w:numId="39">
    <w:abstractNumId w:val="65"/>
  </w:num>
  <w:num w:numId="40">
    <w:abstractNumId w:val="22"/>
  </w:num>
  <w:num w:numId="41">
    <w:abstractNumId w:val="66"/>
  </w:num>
  <w:num w:numId="42">
    <w:abstractNumId w:val="21"/>
  </w:num>
  <w:num w:numId="43">
    <w:abstractNumId w:val="12"/>
  </w:num>
  <w:num w:numId="44">
    <w:abstractNumId w:val="52"/>
  </w:num>
  <w:num w:numId="45">
    <w:abstractNumId w:val="2"/>
  </w:num>
  <w:num w:numId="46">
    <w:abstractNumId w:val="39"/>
  </w:num>
  <w:num w:numId="47">
    <w:abstractNumId w:val="53"/>
  </w:num>
  <w:num w:numId="48">
    <w:abstractNumId w:val="51"/>
  </w:num>
  <w:num w:numId="49">
    <w:abstractNumId w:val="14"/>
  </w:num>
  <w:num w:numId="50">
    <w:abstractNumId w:val="6"/>
  </w:num>
  <w:num w:numId="51">
    <w:abstractNumId w:val="1"/>
  </w:num>
  <w:num w:numId="52">
    <w:abstractNumId w:val="11"/>
  </w:num>
  <w:num w:numId="53">
    <w:abstractNumId w:val="58"/>
  </w:num>
  <w:num w:numId="54">
    <w:abstractNumId w:val="17"/>
  </w:num>
  <w:num w:numId="55">
    <w:abstractNumId w:val="63"/>
  </w:num>
  <w:num w:numId="56">
    <w:abstractNumId w:val="4"/>
  </w:num>
  <w:num w:numId="57">
    <w:abstractNumId w:val="33"/>
  </w:num>
  <w:num w:numId="58">
    <w:abstractNumId w:val="60"/>
  </w:num>
  <w:num w:numId="59">
    <w:abstractNumId w:val="62"/>
  </w:num>
  <w:num w:numId="60">
    <w:abstractNumId w:val="29"/>
  </w:num>
  <w:num w:numId="61">
    <w:abstractNumId w:val="26"/>
  </w:num>
  <w:num w:numId="62">
    <w:abstractNumId w:val="48"/>
  </w:num>
  <w:num w:numId="63">
    <w:abstractNumId w:val="41"/>
  </w:num>
  <w:num w:numId="64">
    <w:abstractNumId w:val="43"/>
  </w:num>
  <w:num w:numId="65">
    <w:abstractNumId w:val="50"/>
  </w:num>
  <w:num w:numId="66">
    <w:abstractNumId w:val="0"/>
  </w:num>
  <w:num w:numId="67">
    <w:abstractNumId w:val="5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35D65"/>
    <w:rsid w:val="00154FC2"/>
    <w:rsid w:val="00170CA0"/>
    <w:rsid w:val="00174A5A"/>
    <w:rsid w:val="001778C5"/>
    <w:rsid w:val="00180FB9"/>
    <w:rsid w:val="001B5148"/>
    <w:rsid w:val="001B5F62"/>
    <w:rsid w:val="001C51BE"/>
    <w:rsid w:val="001D7A29"/>
    <w:rsid w:val="001E56D2"/>
    <w:rsid w:val="001F61E5"/>
    <w:rsid w:val="00216C06"/>
    <w:rsid w:val="00220A16"/>
    <w:rsid w:val="00237331"/>
    <w:rsid w:val="0025277E"/>
    <w:rsid w:val="0025716D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33B92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9571F"/>
    <w:rsid w:val="003A699B"/>
    <w:rsid w:val="003B4E9A"/>
    <w:rsid w:val="003B7D60"/>
    <w:rsid w:val="003C3C3A"/>
    <w:rsid w:val="003C484E"/>
    <w:rsid w:val="003D0982"/>
    <w:rsid w:val="003F1946"/>
    <w:rsid w:val="003F5088"/>
    <w:rsid w:val="004029F3"/>
    <w:rsid w:val="00410566"/>
    <w:rsid w:val="004123FC"/>
    <w:rsid w:val="004205CA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240A"/>
    <w:rsid w:val="00544E3D"/>
    <w:rsid w:val="005461A2"/>
    <w:rsid w:val="00554676"/>
    <w:rsid w:val="00560C0D"/>
    <w:rsid w:val="005615DC"/>
    <w:rsid w:val="00564054"/>
    <w:rsid w:val="00565889"/>
    <w:rsid w:val="005B4B10"/>
    <w:rsid w:val="005C2C4E"/>
    <w:rsid w:val="005D2FBE"/>
    <w:rsid w:val="005D3D88"/>
    <w:rsid w:val="005E2D9F"/>
    <w:rsid w:val="005E54BA"/>
    <w:rsid w:val="005F47CB"/>
    <w:rsid w:val="00601FB6"/>
    <w:rsid w:val="006054E2"/>
    <w:rsid w:val="0060634C"/>
    <w:rsid w:val="006130EF"/>
    <w:rsid w:val="00614679"/>
    <w:rsid w:val="00614C87"/>
    <w:rsid w:val="00622092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1EB"/>
    <w:rsid w:val="006D2981"/>
    <w:rsid w:val="006F251A"/>
    <w:rsid w:val="006F4E9B"/>
    <w:rsid w:val="006F6327"/>
    <w:rsid w:val="00702F6A"/>
    <w:rsid w:val="0070723F"/>
    <w:rsid w:val="00731BBD"/>
    <w:rsid w:val="007375FB"/>
    <w:rsid w:val="00740E14"/>
    <w:rsid w:val="00750C46"/>
    <w:rsid w:val="0075194D"/>
    <w:rsid w:val="0076286B"/>
    <w:rsid w:val="00776B7B"/>
    <w:rsid w:val="00786A03"/>
    <w:rsid w:val="007B39FC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E69E6"/>
    <w:rsid w:val="008F159C"/>
    <w:rsid w:val="00901BB3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237C"/>
    <w:rsid w:val="00A175E1"/>
    <w:rsid w:val="00A40ECC"/>
    <w:rsid w:val="00A43C37"/>
    <w:rsid w:val="00A5515C"/>
    <w:rsid w:val="00A565FE"/>
    <w:rsid w:val="00A570C2"/>
    <w:rsid w:val="00A62383"/>
    <w:rsid w:val="00A80C65"/>
    <w:rsid w:val="00A8169C"/>
    <w:rsid w:val="00A83107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B5B02"/>
    <w:rsid w:val="00DC48BD"/>
    <w:rsid w:val="00DD09A6"/>
    <w:rsid w:val="00DD16FB"/>
    <w:rsid w:val="00DE67B2"/>
    <w:rsid w:val="00DF2B5B"/>
    <w:rsid w:val="00DF72F5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3658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73BFC"/>
    <w:rsid w:val="00F81B82"/>
    <w:rsid w:val="00FA1A43"/>
    <w:rsid w:val="00FA2E8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70723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2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0723F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table" w:customStyle="1" w:styleId="CitaoIntensa1">
    <w:name w:val="Citação Intensa1"/>
    <w:basedOn w:val="Tabelanormal"/>
    <w:uiPriority w:val="60"/>
    <w:qFormat/>
    <w:rsid w:val="0070723F"/>
    <w:pPr>
      <w:spacing w:after="0" w:line="240" w:lineRule="auto"/>
    </w:pPr>
    <w:rPr>
      <w:rFonts w:ascii="Cambria" w:eastAsia="Times New Roman" w:hAnsi="Cambria" w:cs="Times New Roman"/>
      <w:color w:val="365F91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qFormat/>
    <w:rsid w:val="0070723F"/>
    <w:rPr>
      <w:b/>
    </w:rPr>
  </w:style>
  <w:style w:type="character" w:styleId="nfase">
    <w:name w:val="Emphasis"/>
    <w:uiPriority w:val="20"/>
    <w:qFormat/>
    <w:rsid w:val="0070723F"/>
    <w:rPr>
      <w:i/>
    </w:rPr>
  </w:style>
  <w:style w:type="paragraph" w:customStyle="1" w:styleId="disposicao">
    <w:name w:val="disposicao"/>
    <w:basedOn w:val="Normal"/>
    <w:rsid w:val="0070723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70723F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70723F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0723F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70723F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70723F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0723F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0723F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70723F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70723F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0723F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0723F"/>
    <w:rPr>
      <w:rFonts w:eastAsiaTheme="majorEastAsia" w:cstheme="majorBidi"/>
      <w:b/>
      <w:spacing w:val="5"/>
      <w:kern w:val="28"/>
      <w:sz w:val="24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707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7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723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2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23F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71"/>
    <w:rsid w:val="0070723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customStyle="1" w:styleId="TabeladeGrade1Clara1">
    <w:name w:val="Tabela de Grade 1 Clara1"/>
    <w:basedOn w:val="Tabelanormal"/>
    <w:uiPriority w:val="46"/>
    <w:rsid w:val="006D21E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6D21E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padro">
    <w:name w:val="Texto padrão"/>
    <w:basedOn w:val="Normal"/>
    <w:rsid w:val="006D21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5FA6-A069-4254-8D00-C50F1E79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1830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57</cp:revision>
  <cp:lastPrinted>2019-04-01T13:53:00Z</cp:lastPrinted>
  <dcterms:created xsi:type="dcterms:W3CDTF">2017-12-20T18:28:00Z</dcterms:created>
  <dcterms:modified xsi:type="dcterms:W3CDTF">2019-04-01T20:05:00Z</dcterms:modified>
</cp:coreProperties>
</file>