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F06EBD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412.806/2016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F06EBD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F06EBD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P. A. K. S.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47387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1</w:t>
            </w:r>
            <w:r w:rsidR="00473879">
              <w:rPr>
                <w:rFonts w:ascii="Times New Roman" w:hAnsi="Times New Roman"/>
                <w:sz w:val="22"/>
                <w:szCs w:val="22"/>
              </w:rPr>
              <w:t>8</w:t>
            </w:r>
            <w:r w:rsidR="00A64BA0" w:rsidRPr="009C34C8">
              <w:rPr>
                <w:rFonts w:ascii="Times New Roman" w:hAnsi="Times New Roman"/>
                <w:sz w:val="22"/>
                <w:szCs w:val="22"/>
              </w:rPr>
              <w:t>/1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9C34C8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F06EBD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Arq. e Urb. Conselheiro</w:t>
            </w:r>
            <w:r w:rsidR="0099031C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6EBD">
              <w:rPr>
                <w:rFonts w:ascii="Times New Roman" w:hAnsi="Times New Roman"/>
                <w:sz w:val="22"/>
                <w:szCs w:val="22"/>
              </w:rPr>
              <w:t>Rui Mineiro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CA43AA" w:rsidRPr="00CA43AA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CA43AA" w:rsidRDefault="0099031C" w:rsidP="00234524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CA43AA" w:rsidRPr="00CA43AA">
              <w:rPr>
                <w:rFonts w:ascii="Times New Roman" w:hAnsi="Times New Roman"/>
                <w:b/>
                <w:sz w:val="22"/>
                <w:szCs w:val="22"/>
              </w:rPr>
              <w:t>EXTRAORDINÁRIA DPE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234524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CA43AA" w:rsidRDefault="00CB5759" w:rsidP="005E20B5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F06EBD" w:rsidRPr="00234524" w:rsidRDefault="0099031C" w:rsidP="00AB24D1">
      <w:pPr>
        <w:ind w:left="4536" w:right="275"/>
        <w:jc w:val="both"/>
        <w:rPr>
          <w:rFonts w:ascii="Times New Roman" w:hAnsi="Times New Roman"/>
          <w:sz w:val="20"/>
          <w:szCs w:val="22"/>
        </w:rPr>
      </w:pPr>
      <w:r w:rsidRPr="00234524">
        <w:rPr>
          <w:rFonts w:ascii="Times New Roman" w:hAnsi="Times New Roman"/>
          <w:sz w:val="20"/>
          <w:szCs w:val="22"/>
        </w:rPr>
        <w:t xml:space="preserve">Aprova o relatório e o voto </w:t>
      </w:r>
      <w:r w:rsidR="00184137" w:rsidRPr="00234524">
        <w:rPr>
          <w:rFonts w:ascii="Times New Roman" w:hAnsi="Times New Roman"/>
          <w:sz w:val="20"/>
          <w:szCs w:val="22"/>
        </w:rPr>
        <w:t>fundamentado</w:t>
      </w:r>
      <w:r w:rsidR="00D4235A" w:rsidRPr="00234524">
        <w:rPr>
          <w:rFonts w:ascii="Times New Roman" w:hAnsi="Times New Roman"/>
          <w:sz w:val="20"/>
          <w:szCs w:val="22"/>
        </w:rPr>
        <w:t xml:space="preserve"> </w:t>
      </w:r>
      <w:r w:rsidR="000021D8" w:rsidRPr="00234524">
        <w:rPr>
          <w:rFonts w:ascii="Times New Roman" w:hAnsi="Times New Roman"/>
          <w:sz w:val="20"/>
          <w:szCs w:val="22"/>
        </w:rPr>
        <w:t>d</w:t>
      </w:r>
      <w:r w:rsidR="009C34C8" w:rsidRPr="00234524">
        <w:rPr>
          <w:rFonts w:ascii="Times New Roman" w:hAnsi="Times New Roman"/>
          <w:sz w:val="20"/>
          <w:szCs w:val="22"/>
        </w:rPr>
        <w:t>o</w:t>
      </w:r>
      <w:r w:rsidR="000021D8" w:rsidRPr="00234524">
        <w:rPr>
          <w:rFonts w:ascii="Times New Roman" w:hAnsi="Times New Roman"/>
          <w:sz w:val="20"/>
          <w:szCs w:val="22"/>
        </w:rPr>
        <w:t xml:space="preserve"> Conselheir</w:t>
      </w:r>
      <w:r w:rsidR="009C34C8" w:rsidRPr="00234524">
        <w:rPr>
          <w:rFonts w:ascii="Times New Roman" w:hAnsi="Times New Roman"/>
          <w:sz w:val="20"/>
          <w:szCs w:val="22"/>
        </w:rPr>
        <w:t>o Relator, para o fim de julgar improcedente a denúncia, com o consequente arquivamento do processo ético-disciplinar</w:t>
      </w:r>
      <w:r w:rsidR="00F06EBD" w:rsidRPr="00234524">
        <w:rPr>
          <w:rFonts w:ascii="Times New Roman" w:hAnsi="Times New Roman"/>
          <w:sz w:val="20"/>
          <w:szCs w:val="22"/>
        </w:rPr>
        <w:t>.</w:t>
      </w:r>
    </w:p>
    <w:p w:rsidR="00D75010" w:rsidRPr="00234524" w:rsidRDefault="00D75010" w:rsidP="005E20B5">
      <w:pPr>
        <w:ind w:left="4536" w:right="275"/>
        <w:jc w:val="both"/>
        <w:rPr>
          <w:rFonts w:ascii="Times New Roman" w:hAnsi="Times New Roman"/>
          <w:sz w:val="20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9C34C8">
        <w:rPr>
          <w:rFonts w:ascii="Times New Roman" w:hAnsi="Times New Roman"/>
          <w:sz w:val="22"/>
          <w:szCs w:val="22"/>
        </w:rPr>
        <w:t>29</w:t>
      </w:r>
      <w:r w:rsidRPr="009C34C8">
        <w:rPr>
          <w:rFonts w:ascii="Times New Roman" w:hAnsi="Times New Roman"/>
          <w:sz w:val="22"/>
          <w:szCs w:val="22"/>
        </w:rPr>
        <w:t xml:space="preserve">, Inciso </w:t>
      </w:r>
      <w:r w:rsidR="00E4654E" w:rsidRPr="009C34C8">
        <w:rPr>
          <w:rFonts w:ascii="Times New Roman" w:hAnsi="Times New Roman"/>
          <w:sz w:val="22"/>
          <w:szCs w:val="22"/>
        </w:rPr>
        <w:t>L</w:t>
      </w:r>
      <w:r w:rsidRPr="009C34C8">
        <w:rPr>
          <w:rFonts w:ascii="Times New Roman" w:hAnsi="Times New Roman"/>
          <w:sz w:val="22"/>
          <w:szCs w:val="22"/>
        </w:rPr>
        <w:t>XI</w:t>
      </w:r>
      <w:r w:rsidR="00E4654E" w:rsidRPr="009C34C8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234524">
        <w:rPr>
          <w:rFonts w:ascii="Times New Roman" w:hAnsi="Times New Roman"/>
          <w:sz w:val="22"/>
          <w:szCs w:val="22"/>
        </w:rPr>
        <w:t>18</w:t>
      </w:r>
      <w:r w:rsidRPr="00647E38">
        <w:rPr>
          <w:rFonts w:ascii="Times New Roman" w:hAnsi="Times New Roman"/>
          <w:sz w:val="22"/>
          <w:szCs w:val="22"/>
        </w:rPr>
        <w:t xml:space="preserve"> de </w:t>
      </w:r>
      <w:r w:rsidR="00234524">
        <w:rPr>
          <w:rFonts w:ascii="Times New Roman" w:hAnsi="Times New Roman"/>
          <w:sz w:val="22"/>
          <w:szCs w:val="22"/>
        </w:rPr>
        <w:t xml:space="preserve">dezembro </w:t>
      </w:r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F06EBD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</w:t>
      </w:r>
      <w:r w:rsidRPr="00F06EBD">
        <w:rPr>
          <w:rFonts w:ascii="Times New Roman" w:hAnsi="Times New Roman"/>
          <w:sz w:val="22"/>
        </w:rPr>
        <w:t>Regimento Interno do CAU/RS,</w:t>
      </w:r>
      <w:r w:rsidRPr="00F06EBD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F06EBD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F06EBD">
        <w:rPr>
          <w:rFonts w:ascii="Times New Roman" w:hAnsi="Times New Roman"/>
          <w:i/>
          <w:sz w:val="20"/>
          <w:szCs w:val="20"/>
        </w:rPr>
        <w:t>Art. 29. Compete ao Plenário do CAU/RS:</w:t>
      </w:r>
    </w:p>
    <w:p w:rsidR="009C34C8" w:rsidRPr="00F06EBD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F06EBD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9C34C8" w:rsidRPr="00F06EBD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F06EBD" w:rsidRPr="00F06EBD" w:rsidRDefault="00AB24D1" w:rsidP="00AB24D1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F06EBD">
        <w:rPr>
          <w:rFonts w:ascii="Times New Roman" w:hAnsi="Times New Roman"/>
          <w:sz w:val="22"/>
          <w:szCs w:val="22"/>
        </w:rPr>
        <w:t xml:space="preserve">Considerando que a denúncia foi admitida, por identificação de indício de falta ético-disciplinar, por infração ao </w:t>
      </w:r>
      <w:r w:rsidR="00F06EBD" w:rsidRPr="00F06EBD">
        <w:rPr>
          <w:rFonts w:ascii="Times New Roman" w:hAnsi="Times New Roman"/>
          <w:sz w:val="22"/>
          <w:szCs w:val="22"/>
        </w:rPr>
        <w:t>art. 18, inciso IX, da Lei nº 12.378/2010, e aos itens nº 1.2.1 e nº 2.2.7, ambos do Código de Ética e Disciplina, aprovado pela Resolução CAU/BR nº 052/2013;</w:t>
      </w:r>
    </w:p>
    <w:p w:rsidR="005E20B5" w:rsidRPr="00F06EBD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F06EBD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F06EBD">
        <w:rPr>
          <w:rFonts w:ascii="Times New Roman" w:hAnsi="Times New Roman"/>
          <w:sz w:val="22"/>
          <w:szCs w:val="22"/>
        </w:rPr>
        <w:t>Con</w:t>
      </w:r>
      <w:r w:rsidR="00CF010E" w:rsidRPr="00F06EBD">
        <w:rPr>
          <w:rFonts w:ascii="Times New Roman" w:hAnsi="Times New Roman"/>
          <w:sz w:val="22"/>
          <w:szCs w:val="22"/>
        </w:rPr>
        <w:t>siderando as provas existentes n</w:t>
      </w:r>
      <w:r w:rsidR="00D370F4" w:rsidRPr="00F06EBD">
        <w:rPr>
          <w:rFonts w:ascii="Times New Roman" w:hAnsi="Times New Roman"/>
          <w:sz w:val="22"/>
          <w:szCs w:val="22"/>
        </w:rPr>
        <w:t xml:space="preserve">o </w:t>
      </w:r>
      <w:r w:rsidR="009C34C8" w:rsidRPr="00F06EBD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F06EBD">
        <w:rPr>
          <w:rFonts w:ascii="Times New Roman" w:hAnsi="Times New Roman"/>
          <w:sz w:val="22"/>
          <w:szCs w:val="22"/>
        </w:rPr>
        <w:t xml:space="preserve">nº </w:t>
      </w:r>
      <w:r w:rsidR="00F06EBD" w:rsidRPr="00F06EBD">
        <w:rPr>
          <w:rFonts w:ascii="Times New Roman" w:hAnsi="Times New Roman"/>
          <w:sz w:val="22"/>
          <w:szCs w:val="22"/>
        </w:rPr>
        <w:t>412.806/2016</w:t>
      </w:r>
      <w:r w:rsidRPr="00F06EBD">
        <w:rPr>
          <w:rFonts w:ascii="Times New Roman" w:hAnsi="Times New Roman"/>
          <w:sz w:val="22"/>
          <w:szCs w:val="22"/>
        </w:rPr>
        <w:t>;</w:t>
      </w:r>
    </w:p>
    <w:p w:rsidR="00D75010" w:rsidRPr="00F06EBD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F06EBD" w:rsidRDefault="00D75010" w:rsidP="00F06EBD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F06EBD">
        <w:rPr>
          <w:rFonts w:ascii="Times New Roman" w:hAnsi="Times New Roman"/>
          <w:sz w:val="22"/>
          <w:szCs w:val="22"/>
        </w:rPr>
        <w:t>Cons</w:t>
      </w:r>
      <w:r w:rsidR="000C0AF5" w:rsidRPr="00F06EBD">
        <w:rPr>
          <w:rFonts w:ascii="Times New Roman" w:hAnsi="Times New Roman"/>
          <w:sz w:val="22"/>
          <w:szCs w:val="22"/>
        </w:rPr>
        <w:t xml:space="preserve">iderando </w:t>
      </w:r>
      <w:r w:rsidRPr="00F06EBD">
        <w:rPr>
          <w:rFonts w:ascii="Times New Roman" w:hAnsi="Times New Roman"/>
          <w:sz w:val="22"/>
          <w:szCs w:val="22"/>
        </w:rPr>
        <w:t xml:space="preserve">o </w:t>
      </w:r>
      <w:r w:rsidR="00C7632C" w:rsidRPr="00F06EBD">
        <w:rPr>
          <w:rFonts w:ascii="Times New Roman" w:hAnsi="Times New Roman"/>
          <w:sz w:val="22"/>
          <w:szCs w:val="22"/>
        </w:rPr>
        <w:t xml:space="preserve">relatório e </w:t>
      </w:r>
      <w:r w:rsidRPr="00F06EBD">
        <w:rPr>
          <w:rFonts w:ascii="Times New Roman" w:hAnsi="Times New Roman"/>
          <w:sz w:val="22"/>
          <w:szCs w:val="22"/>
        </w:rPr>
        <w:t>voto fundamentado do Conselheiro Relator,</w:t>
      </w:r>
      <w:r w:rsidR="00F06EBD" w:rsidRPr="00F06EBD">
        <w:rPr>
          <w:rFonts w:ascii="Times New Roman" w:hAnsi="Times New Roman"/>
          <w:sz w:val="22"/>
          <w:szCs w:val="22"/>
        </w:rPr>
        <w:t xml:space="preserve"> Arq. e Urb.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F06EBD" w:rsidRPr="00F06EBD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C7632C" w:rsidRPr="00F06EBD">
        <w:rPr>
          <w:rFonts w:ascii="Times New Roman" w:hAnsi="Times New Roman"/>
          <w:sz w:val="22"/>
          <w:szCs w:val="22"/>
        </w:rPr>
        <w:t xml:space="preserve">, </w:t>
      </w:r>
      <w:r w:rsidR="009C34C8" w:rsidRPr="00F06EBD">
        <w:rPr>
          <w:rFonts w:ascii="Times New Roman" w:hAnsi="Times New Roman"/>
          <w:sz w:val="22"/>
          <w:szCs w:val="22"/>
        </w:rPr>
        <w:t xml:space="preserve">o qual opinou pela improcedência da denúncia, </w:t>
      </w:r>
      <w:r w:rsidR="00F06EBD" w:rsidRPr="00F06EBD">
        <w:rPr>
          <w:rFonts w:ascii="Times New Roman" w:hAnsi="Times New Roman"/>
          <w:sz w:val="22"/>
          <w:szCs w:val="22"/>
        </w:rPr>
        <w:t>votando pelo arquivamento do processo, uma vez que as provas contidas nos autos demonstram que o profissional denunciado não possuía responsabilidade técnica em relação à segurança do trabalho da respectiva obra, haja vista que para esta atribuição restou comprovada a responsabilidade do técnico de segurança do trabalho, o que se observa pelos documentos apresentados, que demostram a atuação deste profissional quanto ao atendimento das normas de segurança, o que afasta do arquiteto e urbanista a responsab</w:t>
      </w:r>
      <w:r w:rsidR="00F06EBD">
        <w:rPr>
          <w:rFonts w:ascii="Times New Roman" w:hAnsi="Times New Roman"/>
          <w:sz w:val="22"/>
          <w:szCs w:val="22"/>
        </w:rPr>
        <w:t>ilidade sobre o fato denunciado;</w:t>
      </w:r>
    </w:p>
    <w:p w:rsidR="00F06EBD" w:rsidRDefault="00F06EBD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0C0AF5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F06EB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079/2018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aprovou, de forma unânime, o relatório e voto fundamentado do </w:t>
      </w:r>
      <w:r w:rsidR="00F06EBD" w:rsidRPr="00F06EBD">
        <w:rPr>
          <w:rFonts w:ascii="Times New Roman" w:hAnsi="Times New Roman"/>
          <w:sz w:val="22"/>
          <w:szCs w:val="22"/>
        </w:rPr>
        <w:t xml:space="preserve">Conselheiro Relator, Arq. e Urb.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92627010"/>
          <w:placeholder>
            <w:docPart w:val="DA6C4927638249E39BE73FD61E15FFD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F06EBD" w:rsidRPr="00F06EBD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A54A64" w:rsidRPr="00647E38" w:rsidRDefault="00A54A64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0C0AF5" w:rsidRPr="009C34C8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9C34C8">
        <w:rPr>
          <w:rFonts w:ascii="Times New Roman" w:hAnsi="Times New Roman"/>
          <w:b/>
          <w:sz w:val="22"/>
          <w:szCs w:val="22"/>
        </w:rPr>
        <w:t>DELIBEROU:</w:t>
      </w:r>
    </w:p>
    <w:p w:rsidR="000C0AF5" w:rsidRPr="009C34C8" w:rsidRDefault="000C0AF5" w:rsidP="00647E38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647E38" w:rsidRDefault="000C3467" w:rsidP="00F06EBD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Por a</w:t>
      </w:r>
      <w:r w:rsidR="000C0AF5" w:rsidRPr="009C34C8">
        <w:rPr>
          <w:rFonts w:ascii="Times New Roman" w:hAnsi="Times New Roman"/>
          <w:sz w:val="22"/>
          <w:szCs w:val="22"/>
        </w:rPr>
        <w:t>provar o re</w:t>
      </w:r>
      <w:r w:rsidR="00A64BA0" w:rsidRPr="009C34C8">
        <w:rPr>
          <w:rFonts w:ascii="Times New Roman" w:hAnsi="Times New Roman"/>
          <w:sz w:val="22"/>
          <w:szCs w:val="22"/>
        </w:rPr>
        <w:t>latório e o voto fundamentado d</w:t>
      </w:r>
      <w:r w:rsidR="00647E38">
        <w:rPr>
          <w:rFonts w:ascii="Times New Roman" w:hAnsi="Times New Roman"/>
          <w:sz w:val="22"/>
          <w:szCs w:val="22"/>
        </w:rPr>
        <w:t>o</w:t>
      </w:r>
      <w:r w:rsidR="00A64BA0" w:rsidRPr="009C34C8">
        <w:rPr>
          <w:rFonts w:ascii="Times New Roman" w:hAnsi="Times New Roman"/>
          <w:sz w:val="22"/>
          <w:szCs w:val="22"/>
        </w:rPr>
        <w:t xml:space="preserve"> Conselheir</w:t>
      </w:r>
      <w:r w:rsidR="00647E38">
        <w:rPr>
          <w:rFonts w:ascii="Times New Roman" w:hAnsi="Times New Roman"/>
          <w:sz w:val="22"/>
          <w:szCs w:val="22"/>
        </w:rPr>
        <w:t>o</w:t>
      </w:r>
      <w:r w:rsidR="000C0AF5" w:rsidRPr="009C34C8">
        <w:rPr>
          <w:rFonts w:ascii="Times New Roman" w:hAnsi="Times New Roman"/>
          <w:sz w:val="22"/>
          <w:szCs w:val="22"/>
        </w:rPr>
        <w:t xml:space="preserve"> Relator</w:t>
      </w:r>
      <w:r w:rsidR="00647E38" w:rsidRPr="00647E38">
        <w:rPr>
          <w:rFonts w:ascii="Times New Roman" w:hAnsi="Times New Roman"/>
          <w:sz w:val="22"/>
          <w:szCs w:val="22"/>
        </w:rPr>
        <w:t xml:space="preserve">, para o fim de julgar </w:t>
      </w:r>
      <w:r w:rsidR="00647E38" w:rsidRPr="00F06EBD">
        <w:rPr>
          <w:rFonts w:ascii="Times New Roman" w:hAnsi="Times New Roman"/>
          <w:sz w:val="22"/>
          <w:szCs w:val="22"/>
        </w:rPr>
        <w:t xml:space="preserve">improcedente a denúncia, com o consequente arquivamento do processo ético-disciplinar, </w:t>
      </w:r>
      <w:r w:rsidR="00F06EBD" w:rsidRPr="00F06EBD">
        <w:rPr>
          <w:rFonts w:ascii="Times New Roman" w:hAnsi="Times New Roman"/>
          <w:sz w:val="22"/>
          <w:szCs w:val="22"/>
        </w:rPr>
        <w:t>uma vez que as provas contidas nos autos demonstram que o profissional denunciado não possuía responsabilidade técnica em relação à segurança do trabalho da respectiva obra</w:t>
      </w:r>
      <w:r w:rsidR="00647E38" w:rsidRPr="00AB24D1">
        <w:rPr>
          <w:rFonts w:ascii="Times New Roman" w:hAnsi="Times New Roman"/>
          <w:sz w:val="22"/>
          <w:szCs w:val="22"/>
        </w:rPr>
        <w:t>;</w:t>
      </w:r>
    </w:p>
    <w:p w:rsidR="00234524" w:rsidRPr="00AB24D1" w:rsidRDefault="00234524" w:rsidP="0023452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9C34C8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</w:t>
      </w:r>
      <w:r w:rsidR="00647E38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234524" w:rsidRPr="009C34C8" w:rsidRDefault="00234524" w:rsidP="0023452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Notifique</w:t>
      </w:r>
      <w:r w:rsidR="00044BF8" w:rsidRPr="009C34C8">
        <w:rPr>
          <w:rFonts w:ascii="Times New Roman" w:hAnsi="Times New Roman"/>
          <w:sz w:val="22"/>
          <w:szCs w:val="22"/>
        </w:rPr>
        <w:t>m</w:t>
      </w:r>
      <w:r w:rsidRPr="009C34C8">
        <w:rPr>
          <w:rFonts w:ascii="Times New Roman" w:hAnsi="Times New Roman"/>
          <w:sz w:val="22"/>
          <w:szCs w:val="22"/>
        </w:rPr>
        <w:t>-se a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parte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ausente</w:t>
      </w:r>
      <w:r w:rsidR="00044BF8" w:rsidRPr="009C34C8">
        <w:rPr>
          <w:rFonts w:ascii="Times New Roman" w:hAnsi="Times New Roman"/>
          <w:sz w:val="22"/>
          <w:szCs w:val="22"/>
        </w:rPr>
        <w:t>s do teor da decisão</w:t>
      </w:r>
      <w:r w:rsidR="00F34B44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</w:t>
      </w:r>
      <w:r w:rsidR="00647E38">
        <w:rPr>
          <w:rFonts w:ascii="Times New Roman" w:hAnsi="Times New Roman"/>
          <w:sz w:val="22"/>
          <w:szCs w:val="22"/>
        </w:rPr>
        <w:t>/2017;</w:t>
      </w:r>
    </w:p>
    <w:p w:rsidR="00234524" w:rsidRPr="009C34C8" w:rsidRDefault="00234524" w:rsidP="0023452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97F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34524" w:rsidRPr="00797F59" w:rsidRDefault="00234524" w:rsidP="0023452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15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quinze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Alexandre Couto Giorgi, Ana Rosa Sulzbach Cé, Antônio Cesar Cassol da Rocha, </w:t>
      </w:r>
      <w:r>
        <w:rPr>
          <w:rFonts w:ascii="Times New Roman" w:hAnsi="Times New Roman"/>
          <w:sz w:val="22"/>
          <w:szCs w:val="22"/>
          <w:lang w:eastAsia="pt-BR"/>
        </w:rPr>
        <w:t xml:space="preserve">Clóvis Ilgenfritz da Silva, 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Emilio Merino Dominguez, Evelise Jaime de Menezes, Felipe José Trucolo, Jorge Luíz Stocker Júnior, Marcia Elizabeth Martins, Marisa Potter, Roberta Krahe </w:t>
      </w:r>
      <w:r>
        <w:rPr>
          <w:rFonts w:ascii="Times New Roman" w:hAnsi="Times New Roman"/>
          <w:sz w:val="22"/>
          <w:szCs w:val="22"/>
          <w:lang w:eastAsia="pt-BR"/>
        </w:rPr>
        <w:t xml:space="preserve">Edelweiss, </w:t>
      </w:r>
      <w:r w:rsidRPr="00797F59">
        <w:rPr>
          <w:rFonts w:ascii="Times New Roman" w:hAnsi="Times New Roman"/>
          <w:color w:val="000000"/>
          <w:sz w:val="22"/>
          <w:szCs w:val="22"/>
        </w:rPr>
        <w:t>Renata Camilo Maraschin</w:t>
      </w:r>
      <w:r>
        <w:rPr>
          <w:rFonts w:ascii="Times New Roman" w:hAnsi="Times New Roman"/>
          <w:sz w:val="22"/>
          <w:szCs w:val="22"/>
          <w:lang w:eastAsia="pt-BR"/>
        </w:rPr>
        <w:t xml:space="preserve"> Rômulo Plentz Giralt, </w:t>
      </w:r>
      <w:r w:rsidRPr="00797F59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Rodrigo Spinelli </w:t>
      </w:r>
      <w:r w:rsidRPr="00797F59">
        <w:rPr>
          <w:rFonts w:ascii="Times New Roman" w:hAnsi="Times New Roman"/>
          <w:color w:val="000000"/>
          <w:sz w:val="22"/>
          <w:szCs w:val="22"/>
        </w:rPr>
        <w:t xml:space="preserve">e </w:t>
      </w:r>
      <w:r>
        <w:rPr>
          <w:rFonts w:ascii="Times New Roman" w:hAnsi="Times New Roman"/>
          <w:color w:val="000000"/>
          <w:sz w:val="22"/>
          <w:szCs w:val="22"/>
        </w:rPr>
        <w:t xml:space="preserve">03 </w:t>
      </w:r>
      <w:r w:rsidRPr="00797F59">
        <w:rPr>
          <w:rFonts w:ascii="Times New Roman" w:hAnsi="Times New Roman"/>
          <w:color w:val="000000"/>
          <w:sz w:val="22"/>
          <w:szCs w:val="22"/>
        </w:rPr>
        <w:t>(</w:t>
      </w:r>
      <w:r>
        <w:rPr>
          <w:rFonts w:ascii="Times New Roman" w:hAnsi="Times New Roman"/>
          <w:color w:val="000000"/>
          <w:sz w:val="22"/>
          <w:szCs w:val="22"/>
        </w:rPr>
        <w:t>três</w:t>
      </w:r>
      <w:r w:rsidRPr="00797F59">
        <w:rPr>
          <w:rFonts w:ascii="Times New Roman" w:hAnsi="Times New Roman"/>
          <w:color w:val="000000"/>
          <w:sz w:val="22"/>
          <w:szCs w:val="22"/>
        </w:rPr>
        <w:t>) ausências dos conselheiros Bernardo Henrique Gehlen, Marta Floriani Volkmer e Rodrigo Rintzel.</w:t>
      </w:r>
    </w:p>
    <w:p w:rsidR="00234524" w:rsidRPr="00797F59" w:rsidRDefault="00234524" w:rsidP="0023452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34524" w:rsidRPr="00797F59" w:rsidRDefault="00234524" w:rsidP="00234524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Porto Alegre – RS, 18 de dezembro de 2018.</w:t>
      </w:r>
    </w:p>
    <w:p w:rsidR="00234524" w:rsidRPr="00797F59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234524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234524" w:rsidRPr="00797F59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797F59">
        <w:rPr>
          <w:rFonts w:ascii="Times New Roman" w:hAnsi="Times New Roman"/>
          <w:b/>
          <w:sz w:val="22"/>
          <w:szCs w:val="22"/>
        </w:rPr>
        <w:t>PAULO FERNANDO DO AMARAL FONTANA</w:t>
      </w:r>
    </w:p>
    <w:p w:rsidR="00234524" w:rsidRPr="00797F59" w:rsidRDefault="00234524" w:rsidP="0023452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Conselheiro do CAU/RS</w:t>
      </w:r>
    </w:p>
    <w:p w:rsidR="00234524" w:rsidRPr="00797F59" w:rsidRDefault="00234524" w:rsidP="00234524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97F59">
        <w:rPr>
          <w:rFonts w:ascii="Times New Roman" w:hAnsi="Times New Roman"/>
          <w:bCs/>
          <w:iCs/>
          <w:sz w:val="22"/>
          <w:szCs w:val="22"/>
        </w:rPr>
        <w:t>Presidente da Mesa – 86ª Plenária Ordinária</w:t>
      </w:r>
    </w:p>
    <w:p w:rsidR="00234524" w:rsidRDefault="00234524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54A64" w:rsidRPr="00607A0F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CA43AA" w:rsidRPr="008D7E43" w:rsidRDefault="00CA43AA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18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Marta Floriani Volkmer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524" w:rsidTr="007C47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34524" w:rsidRPr="00813883" w:rsidRDefault="00234524" w:rsidP="00234524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4524" w:rsidRDefault="00234524" w:rsidP="002345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234524">
            <w:pPr>
              <w:tabs>
                <w:tab w:val="left" w:pos="1418"/>
                <w:tab w:val="left" w:pos="295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  <w:r w:rsidR="00234524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234524" w:rsidRPr="00DC3F32" w:rsidRDefault="00234524" w:rsidP="00234524">
            <w:pPr>
              <w:tabs>
                <w:tab w:val="left" w:pos="1418"/>
                <w:tab w:val="left" w:pos="295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CA43AA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ª Reunião Plenária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>rdinária</w:t>
            </w:r>
          </w:p>
          <w:p w:rsidR="00234524" w:rsidRPr="00DC3F32" w:rsidRDefault="00234524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78A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47E38" w:rsidRPr="00EC78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C78AD" w:rsidRPr="00EC78A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64BA0" w:rsidRPr="00EC78AD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 w:rsidRPr="00EC78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 w:rsidRPr="00EC78AD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EC78AD" w:rsidRPr="00EC78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234524" w:rsidRPr="00EC78AD" w:rsidRDefault="00234524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24D1" w:rsidRPr="00AB24D1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</w:t>
            </w:r>
            <w:r w:rsidRPr="00AB24D1">
              <w:rPr>
                <w:rFonts w:ascii="Times New Roman" w:hAnsi="Times New Roman"/>
                <w:b/>
                <w:sz w:val="20"/>
                <w:szCs w:val="20"/>
              </w:rPr>
              <w:t xml:space="preserve">votação: </w:t>
            </w:r>
            <w:r w:rsidR="00234524">
              <w:rPr>
                <w:rFonts w:ascii="Times New Roman" w:hAnsi="Times New Roman"/>
                <w:b/>
                <w:sz w:val="20"/>
                <w:szCs w:val="20"/>
              </w:rPr>
              <w:t xml:space="preserve">DPE-RS 011/2018 - </w:t>
            </w:r>
            <w:r w:rsidR="00F06EBD" w:rsidRPr="00F06EBD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para o fim de julgar improcedente a denúncia, com o consequente arquivamento do processo ético-disciplinar</w:t>
            </w:r>
            <w:r w:rsidR="00AB24D1" w:rsidRPr="00AB24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467" w:rsidRPr="00DC3F32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46195">
              <w:rPr>
                <w:rFonts w:ascii="Times New Roman" w:hAnsi="Times New Roman"/>
                <w:sz w:val="20"/>
                <w:szCs w:val="20"/>
              </w:rPr>
              <w:t>15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46195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46195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34524" w:rsidRDefault="00234524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446195">
        <w:trPr>
          <w:trHeight w:val="57"/>
        </w:trPr>
        <w:tc>
          <w:tcPr>
            <w:tcW w:w="4530" w:type="dxa"/>
            <w:shd w:val="clear" w:color="auto" w:fill="D9D9D9"/>
          </w:tcPr>
          <w:p w:rsidR="00234524" w:rsidRDefault="00234524" w:rsidP="00647E3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234524" w:rsidRDefault="00234524" w:rsidP="00647E3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3467" w:rsidRPr="00DC3F32" w:rsidRDefault="000C3467" w:rsidP="0023452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234524">
              <w:rPr>
                <w:rFonts w:ascii="Times New Roman" w:hAnsi="Times New Roman"/>
                <w:sz w:val="20"/>
                <w:szCs w:val="20"/>
                <w:lang w:eastAsia="pt-BR"/>
              </w:rPr>
              <w:t>Paulo Fernando do Amaral Fontana</w:t>
            </w:r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0A2"/>
    <w:rsid w:val="00116921"/>
    <w:rsid w:val="00120B9C"/>
    <w:rsid w:val="0014595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4524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46195"/>
    <w:rsid w:val="00465302"/>
    <w:rsid w:val="004714FB"/>
    <w:rsid w:val="00473879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A1F"/>
    <w:rsid w:val="00607A0F"/>
    <w:rsid w:val="006117B1"/>
    <w:rsid w:val="0061637B"/>
    <w:rsid w:val="00647E38"/>
    <w:rsid w:val="00672546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C34C8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A6FA9"/>
    <w:rsid w:val="00AB24D1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B47"/>
    <w:rsid w:val="00C7632C"/>
    <w:rsid w:val="00C840C9"/>
    <w:rsid w:val="00C92ED9"/>
    <w:rsid w:val="00CA42DC"/>
    <w:rsid w:val="00CA43AA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8AD"/>
    <w:rsid w:val="00EC7D94"/>
    <w:rsid w:val="00ED2016"/>
    <w:rsid w:val="00ED4330"/>
    <w:rsid w:val="00ED4B11"/>
    <w:rsid w:val="00F027BD"/>
    <w:rsid w:val="00F056FB"/>
    <w:rsid w:val="00F06EBD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DA6C4927638249E39BE73FD61E15F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2B558-708E-454B-AF3B-264DD32B17C1}"/>
      </w:docPartPr>
      <w:docPartBody>
        <w:p w:rsidR="00D16E3C" w:rsidRDefault="005C7FB9" w:rsidP="005C7FB9">
          <w:pPr>
            <w:pStyle w:val="DA6C4927638249E39BE73FD61E15FFD8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5C7FB9"/>
    <w:rsid w:val="00845680"/>
    <w:rsid w:val="0099603B"/>
    <w:rsid w:val="00A62A0E"/>
    <w:rsid w:val="00AB6A67"/>
    <w:rsid w:val="00AD3781"/>
    <w:rsid w:val="00D16E3C"/>
    <w:rsid w:val="00E20F00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C7FB9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  <w:style w:type="paragraph" w:customStyle="1" w:styleId="DA6C4927638249E39BE73FD61E15FFD8">
    <w:name w:val="DA6C4927638249E39BE73FD61E15FFD8"/>
    <w:rsid w:val="005C7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C1BB-D516-4A7C-A7EF-B528BF07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41</cp:revision>
  <cp:lastPrinted>2017-08-18T15:16:00Z</cp:lastPrinted>
  <dcterms:created xsi:type="dcterms:W3CDTF">2017-09-18T19:12:00Z</dcterms:created>
  <dcterms:modified xsi:type="dcterms:W3CDTF">2018-12-18T14:28:00Z</dcterms:modified>
</cp:coreProperties>
</file>