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3C" w:rsidRPr="00294EC7" w:rsidRDefault="00E27E3C">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36"/>
      </w:tblGrid>
      <w:tr w:rsidR="004D2CDF" w:rsidRPr="00294EC7" w:rsidTr="008B1940">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294EC7" w:rsidRDefault="00675B06" w:rsidP="003E5E8E">
            <w:pPr>
              <w:tabs>
                <w:tab w:val="left" w:pos="1418"/>
              </w:tabs>
              <w:rPr>
                <w:rFonts w:asciiTheme="minorHAnsi" w:hAnsiTheme="minorHAnsi" w:cstheme="minorHAnsi"/>
              </w:rPr>
            </w:pPr>
            <w:r w:rsidRPr="00294EC7">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294EC7" w:rsidRDefault="00C9664C" w:rsidP="00275917">
            <w:pPr>
              <w:tabs>
                <w:tab w:val="left" w:pos="1418"/>
              </w:tabs>
              <w:rPr>
                <w:rFonts w:asciiTheme="minorHAnsi" w:hAnsiTheme="minorHAnsi" w:cstheme="minorHAnsi"/>
              </w:rPr>
            </w:pPr>
            <w:r w:rsidRPr="00294EC7">
              <w:rPr>
                <w:rFonts w:asciiTheme="minorHAnsi" w:hAnsiTheme="minorHAnsi" w:cstheme="minorHAnsi"/>
              </w:rPr>
              <w:t>1322648/2021</w:t>
            </w:r>
          </w:p>
        </w:tc>
      </w:tr>
      <w:tr w:rsidR="004D2CDF" w:rsidRPr="00294EC7" w:rsidTr="003E5E8E">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294EC7" w:rsidRDefault="004D2CDF" w:rsidP="003E5E8E">
            <w:pPr>
              <w:tabs>
                <w:tab w:val="left" w:pos="1418"/>
              </w:tabs>
              <w:rPr>
                <w:rFonts w:asciiTheme="minorHAnsi" w:hAnsiTheme="minorHAnsi" w:cstheme="minorHAnsi"/>
              </w:rPr>
            </w:pPr>
            <w:r w:rsidRPr="00294EC7">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294EC7" w:rsidRDefault="00294EC7" w:rsidP="00275917">
            <w:pPr>
              <w:tabs>
                <w:tab w:val="left" w:pos="1418"/>
              </w:tabs>
              <w:rPr>
                <w:rFonts w:asciiTheme="minorHAnsi" w:hAnsiTheme="minorHAnsi" w:cstheme="minorHAnsi"/>
              </w:rPr>
            </w:pPr>
            <w:r>
              <w:rPr>
                <w:rFonts w:asciiTheme="minorHAnsi" w:hAnsiTheme="minorHAnsi" w:cstheme="minorHAnsi"/>
              </w:rPr>
              <w:t>G. M. D. C.</w:t>
            </w:r>
          </w:p>
        </w:tc>
      </w:tr>
      <w:tr w:rsidR="004D2CDF" w:rsidRPr="00294EC7" w:rsidTr="008B1940">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294EC7" w:rsidRDefault="004D2CDF" w:rsidP="003E5E8E">
            <w:pPr>
              <w:tabs>
                <w:tab w:val="left" w:pos="1418"/>
              </w:tabs>
              <w:rPr>
                <w:rFonts w:asciiTheme="minorHAnsi" w:hAnsiTheme="minorHAnsi" w:cstheme="minorHAnsi"/>
              </w:rPr>
            </w:pPr>
            <w:r w:rsidRPr="00294EC7">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4D2CDF" w:rsidRPr="00294EC7" w:rsidRDefault="004D2CDF" w:rsidP="00275917">
            <w:pPr>
              <w:jc w:val="both"/>
              <w:rPr>
                <w:rFonts w:asciiTheme="minorHAnsi" w:hAnsiTheme="minorHAnsi" w:cstheme="minorHAnsi"/>
              </w:rPr>
            </w:pPr>
            <w:r w:rsidRPr="00294EC7">
              <w:rPr>
                <w:rFonts w:asciiTheme="minorHAnsi" w:hAnsiTheme="minorHAnsi" w:cstheme="minorHAnsi"/>
              </w:rPr>
              <w:t xml:space="preserve">REQUERIMENTO DE DIREITO AUTORAL Nº </w:t>
            </w:r>
            <w:r w:rsidR="00C9664C" w:rsidRPr="00294EC7">
              <w:rPr>
                <w:rFonts w:asciiTheme="minorHAnsi" w:hAnsiTheme="minorHAnsi" w:cstheme="minorHAnsi"/>
              </w:rPr>
              <w:t>2194</w:t>
            </w:r>
          </w:p>
        </w:tc>
      </w:tr>
      <w:tr w:rsidR="00277843" w:rsidRPr="00294EC7" w:rsidTr="008B1940">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294EC7" w:rsidRDefault="00277843" w:rsidP="003E5E8E">
            <w:pPr>
              <w:tabs>
                <w:tab w:val="left" w:pos="1418"/>
              </w:tabs>
              <w:rPr>
                <w:rFonts w:asciiTheme="minorHAnsi" w:hAnsiTheme="minorHAnsi" w:cstheme="minorHAnsi"/>
              </w:rPr>
            </w:pPr>
            <w:r w:rsidRPr="00294EC7">
              <w:rPr>
                <w:rFonts w:asciiTheme="minorHAnsi" w:hAnsiTheme="minorHAnsi" w:cstheme="minorHAnsi"/>
              </w:rPr>
              <w:t>RELATOR</w:t>
            </w:r>
            <w:r w:rsidR="00294EC7">
              <w:rPr>
                <w:rFonts w:asciiTheme="minorHAnsi" w:hAnsiTheme="minorHAnsi" w:cstheme="minorHAnsi"/>
              </w:rPr>
              <w:t>A</w:t>
            </w:r>
          </w:p>
        </w:tc>
        <w:tc>
          <w:tcPr>
            <w:tcW w:w="7636" w:type="dxa"/>
            <w:tcBorders>
              <w:top w:val="single" w:sz="12" w:space="0" w:color="808080"/>
              <w:left w:val="single" w:sz="12" w:space="0" w:color="808080"/>
              <w:bottom w:val="single" w:sz="12" w:space="0" w:color="808080"/>
              <w:right w:val="nil"/>
            </w:tcBorders>
            <w:shd w:val="clear" w:color="auto" w:fill="auto"/>
            <w:vAlign w:val="center"/>
          </w:tcPr>
          <w:p w:rsidR="00277843" w:rsidRPr="00294EC7" w:rsidRDefault="00277843" w:rsidP="00294EC7">
            <w:pPr>
              <w:tabs>
                <w:tab w:val="left" w:pos="1418"/>
              </w:tabs>
              <w:rPr>
                <w:rFonts w:asciiTheme="minorHAnsi" w:hAnsiTheme="minorHAnsi" w:cstheme="minorHAnsi"/>
              </w:rPr>
            </w:pPr>
            <w:r w:rsidRPr="00294EC7">
              <w:rPr>
                <w:rFonts w:asciiTheme="minorHAnsi" w:hAnsiTheme="minorHAnsi" w:cstheme="minorHAnsi"/>
              </w:rPr>
              <w:t xml:space="preserve">CONS. </w:t>
            </w:r>
            <w:r w:rsidR="00294EC7">
              <w:rPr>
                <w:rFonts w:asciiTheme="minorHAnsi" w:hAnsiTheme="minorHAnsi" w:cstheme="minorHAnsi"/>
              </w:rPr>
              <w:t>ANDREÁ LARRUSCAHIM HAMILTON ILHA</w:t>
            </w:r>
          </w:p>
        </w:tc>
      </w:tr>
    </w:tbl>
    <w:p w:rsidR="00277843" w:rsidRPr="00294EC7" w:rsidRDefault="00277843" w:rsidP="00277843">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356"/>
      </w:tblGrid>
      <w:tr w:rsidR="00277843" w:rsidRPr="00294EC7" w:rsidTr="003E5E8E">
        <w:trPr>
          <w:trHeight w:hRule="exact" w:val="312"/>
        </w:trPr>
        <w:tc>
          <w:tcPr>
            <w:tcW w:w="9356" w:type="dxa"/>
            <w:shd w:val="pct5" w:color="auto" w:fill="auto"/>
            <w:vAlign w:val="center"/>
          </w:tcPr>
          <w:p w:rsidR="00277843" w:rsidRPr="00294EC7" w:rsidRDefault="00277843" w:rsidP="003E5E8E">
            <w:pPr>
              <w:tabs>
                <w:tab w:val="left" w:pos="0"/>
              </w:tabs>
              <w:jc w:val="center"/>
              <w:rPr>
                <w:rFonts w:asciiTheme="minorHAnsi" w:hAnsiTheme="minorHAnsi" w:cstheme="minorHAnsi"/>
              </w:rPr>
            </w:pPr>
            <w:r w:rsidRPr="00294EC7">
              <w:rPr>
                <w:rFonts w:asciiTheme="minorHAnsi" w:hAnsiTheme="minorHAnsi" w:cstheme="minorHAnsi"/>
                <w:b/>
              </w:rPr>
              <w:t>RELATÓRIO E VOTO</w:t>
            </w:r>
          </w:p>
        </w:tc>
      </w:tr>
    </w:tbl>
    <w:p w:rsidR="00277843" w:rsidRPr="00294EC7" w:rsidRDefault="00277843" w:rsidP="00861EE0">
      <w:pPr>
        <w:rPr>
          <w:rFonts w:asciiTheme="minorHAnsi" w:hAnsiTheme="minorHAnsi" w:cstheme="minorHAnsi"/>
        </w:rPr>
      </w:pPr>
    </w:p>
    <w:p w:rsidR="00C9664C" w:rsidRPr="00294EC7" w:rsidRDefault="00C9664C" w:rsidP="00C9664C">
      <w:pPr>
        <w:tabs>
          <w:tab w:val="left" w:pos="1418"/>
        </w:tabs>
        <w:jc w:val="both"/>
        <w:rPr>
          <w:rFonts w:asciiTheme="minorHAnsi" w:hAnsiTheme="minorHAnsi" w:cstheme="minorHAnsi"/>
        </w:rPr>
      </w:pPr>
      <w:r w:rsidRPr="00294EC7">
        <w:rPr>
          <w:rFonts w:asciiTheme="minorHAnsi" w:hAnsiTheme="minorHAnsi" w:cstheme="minorHAnsi"/>
        </w:rPr>
        <w:t xml:space="preserve">Trata-se de requerimento de Registro de Direito Autoral feito pelo Arq. Urb. </w:t>
      </w:r>
      <w:r w:rsidR="00294EC7">
        <w:rPr>
          <w:rFonts w:asciiTheme="minorHAnsi" w:hAnsiTheme="minorHAnsi" w:cstheme="minorHAnsi"/>
        </w:rPr>
        <w:t>G. M. D. C.</w:t>
      </w:r>
      <w:r w:rsidRPr="00294EC7">
        <w:rPr>
          <w:rFonts w:asciiTheme="minorHAnsi" w:hAnsiTheme="minorHAnsi" w:cstheme="minorHAnsi"/>
        </w:rPr>
        <w:t xml:space="preserve">, registro CAU nº A35616-6, protocolado em 7 de junho de 2021. </w:t>
      </w:r>
    </w:p>
    <w:p w:rsidR="00C9664C" w:rsidRPr="00294EC7" w:rsidRDefault="00C9664C" w:rsidP="00C9664C">
      <w:pPr>
        <w:tabs>
          <w:tab w:val="left" w:pos="1418"/>
        </w:tabs>
        <w:jc w:val="both"/>
        <w:rPr>
          <w:rFonts w:asciiTheme="minorHAnsi" w:hAnsiTheme="minorHAnsi" w:cstheme="minorHAnsi"/>
        </w:rPr>
      </w:pPr>
    </w:p>
    <w:p w:rsidR="00C9664C" w:rsidRPr="00294EC7" w:rsidRDefault="00C9664C" w:rsidP="00C9664C">
      <w:pPr>
        <w:tabs>
          <w:tab w:val="left" w:pos="1418"/>
        </w:tabs>
        <w:jc w:val="both"/>
        <w:rPr>
          <w:rFonts w:asciiTheme="minorHAnsi" w:hAnsiTheme="minorHAnsi" w:cstheme="minorHAnsi"/>
        </w:rPr>
      </w:pPr>
      <w:r w:rsidRPr="00294EC7">
        <w:rPr>
          <w:rFonts w:asciiTheme="minorHAnsi" w:hAnsiTheme="minorHAnsi" w:cstheme="minorHAnsi"/>
        </w:rPr>
        <w:t>Descreve sua atividade técnica como: “</w:t>
      </w:r>
      <w:r w:rsidR="00294EC7" w:rsidRPr="00294EC7">
        <w:rPr>
          <w:rFonts w:asciiTheme="minorHAnsi" w:hAnsiTheme="minorHAnsi" w:cstheme="minorHAnsi"/>
          <w:i/>
        </w:rPr>
        <w:t xml:space="preserve">alteração de algumas legislações atinentes a: Parcelamento do Solo, Revisão do Plano Diretor, Revisão Código de Obras, Revisão Código de Posturas, Criação de lei de Movimentação de Terras, Criação de lei de regularização de edificações sem registro na sede do poder público municipal, </w:t>
      </w:r>
      <w:proofErr w:type="gramStart"/>
      <w:r w:rsidR="00294EC7" w:rsidRPr="00294EC7">
        <w:rPr>
          <w:rFonts w:asciiTheme="minorHAnsi" w:hAnsiTheme="minorHAnsi" w:cstheme="minorHAnsi"/>
          <w:i/>
        </w:rPr>
        <w:t>etc</w:t>
      </w:r>
      <w:r w:rsidRPr="00294EC7">
        <w:rPr>
          <w:rFonts w:asciiTheme="minorHAnsi" w:hAnsiTheme="minorHAnsi" w:cstheme="minorHAnsi"/>
          <w:i/>
        </w:rPr>
        <w:t>...</w:t>
      </w:r>
      <w:proofErr w:type="gramEnd"/>
      <w:r w:rsidRPr="00294EC7">
        <w:rPr>
          <w:rFonts w:asciiTheme="minorHAnsi" w:hAnsiTheme="minorHAnsi" w:cstheme="minorHAnsi"/>
        </w:rPr>
        <w:t>”.</w:t>
      </w:r>
    </w:p>
    <w:p w:rsidR="00C9664C" w:rsidRPr="00294EC7" w:rsidRDefault="00C9664C" w:rsidP="00C9664C">
      <w:pPr>
        <w:tabs>
          <w:tab w:val="left" w:pos="1418"/>
        </w:tabs>
        <w:jc w:val="both"/>
        <w:rPr>
          <w:rFonts w:asciiTheme="minorHAnsi" w:hAnsiTheme="minorHAnsi" w:cstheme="minorHAnsi"/>
        </w:rPr>
      </w:pPr>
    </w:p>
    <w:p w:rsidR="00C9664C" w:rsidRPr="00294EC7" w:rsidRDefault="00F90E2B" w:rsidP="00C9664C">
      <w:pPr>
        <w:tabs>
          <w:tab w:val="left" w:pos="1418"/>
        </w:tabs>
        <w:jc w:val="both"/>
        <w:rPr>
          <w:rFonts w:asciiTheme="minorHAnsi" w:hAnsiTheme="minorHAnsi" w:cstheme="minorHAnsi"/>
          <w:color w:val="000000"/>
        </w:rPr>
      </w:pPr>
      <w:r>
        <w:rPr>
          <w:rFonts w:asciiTheme="minorHAnsi" w:hAnsiTheme="minorHAnsi" w:cstheme="minorHAnsi"/>
          <w:color w:val="000000"/>
        </w:rPr>
        <w:t>Na</w:t>
      </w:r>
      <w:r w:rsidR="00C9664C" w:rsidRPr="00294EC7">
        <w:rPr>
          <w:rFonts w:asciiTheme="minorHAnsi" w:hAnsiTheme="minorHAnsi" w:cstheme="minorHAnsi"/>
          <w:color w:val="000000"/>
        </w:rPr>
        <w:t xml:space="preserve"> documentação apresentada consta</w:t>
      </w:r>
      <w:r>
        <w:rPr>
          <w:rFonts w:asciiTheme="minorHAnsi" w:hAnsiTheme="minorHAnsi" w:cstheme="minorHAnsi"/>
          <w:color w:val="000000"/>
        </w:rPr>
        <w:t>:</w:t>
      </w:r>
      <w:r w:rsidR="00C9664C" w:rsidRPr="00294EC7">
        <w:rPr>
          <w:rFonts w:asciiTheme="minorHAnsi" w:hAnsiTheme="minorHAnsi" w:cstheme="minorHAnsi"/>
          <w:color w:val="000000"/>
        </w:rPr>
        <w:t xml:space="preserve"> </w:t>
      </w:r>
      <w:r w:rsidR="00294EC7">
        <w:rPr>
          <w:rFonts w:asciiTheme="minorHAnsi" w:hAnsiTheme="minorHAnsi" w:cstheme="minorHAnsi"/>
          <w:color w:val="000000"/>
        </w:rPr>
        <w:t xml:space="preserve">Projeto de Lei </w:t>
      </w:r>
      <w:r>
        <w:rPr>
          <w:rFonts w:asciiTheme="minorHAnsi" w:hAnsiTheme="minorHAnsi" w:cstheme="minorHAnsi"/>
          <w:color w:val="000000"/>
        </w:rPr>
        <w:t>que “</w:t>
      </w:r>
      <w:r w:rsidRPr="00F90E2B">
        <w:rPr>
          <w:rFonts w:asciiTheme="minorHAnsi" w:hAnsiTheme="minorHAnsi" w:cstheme="minorHAnsi"/>
          <w:i/>
          <w:color w:val="000000"/>
        </w:rPr>
        <w:t>Dispõe sobre o Código de Obras do Município de Veranópolis</w:t>
      </w:r>
      <w:r>
        <w:t xml:space="preserve"> </w:t>
      </w:r>
      <w:r w:rsidRPr="00F90E2B">
        <w:rPr>
          <w:rFonts w:asciiTheme="minorHAnsi" w:hAnsiTheme="minorHAnsi" w:cstheme="minorHAnsi"/>
          <w:i/>
          <w:color w:val="000000"/>
        </w:rPr>
        <w:t>e dá outras providências</w:t>
      </w:r>
      <w:r>
        <w:rPr>
          <w:rFonts w:asciiTheme="minorHAnsi" w:hAnsiTheme="minorHAnsi" w:cstheme="minorHAnsi"/>
          <w:color w:val="000000"/>
        </w:rPr>
        <w:t>”</w:t>
      </w:r>
      <w:r w:rsidR="00C9664C" w:rsidRPr="00294EC7">
        <w:rPr>
          <w:rFonts w:asciiTheme="minorHAnsi" w:hAnsiTheme="minorHAnsi" w:cstheme="minorHAnsi"/>
          <w:color w:val="000000"/>
        </w:rPr>
        <w:t xml:space="preserve">, </w:t>
      </w:r>
      <w:r w:rsidR="00294EC7">
        <w:rPr>
          <w:rFonts w:asciiTheme="minorHAnsi" w:hAnsiTheme="minorHAnsi" w:cstheme="minorHAnsi"/>
          <w:color w:val="000000"/>
        </w:rPr>
        <w:t>P</w:t>
      </w:r>
      <w:r w:rsidR="00294EC7" w:rsidRPr="00294EC7">
        <w:rPr>
          <w:rFonts w:asciiTheme="minorHAnsi" w:hAnsiTheme="minorHAnsi" w:cstheme="minorHAnsi"/>
          <w:color w:val="000000"/>
        </w:rPr>
        <w:t xml:space="preserve">rojeto de </w:t>
      </w:r>
      <w:r w:rsidR="00294EC7">
        <w:rPr>
          <w:rFonts w:asciiTheme="minorHAnsi" w:hAnsiTheme="minorHAnsi" w:cstheme="minorHAnsi"/>
          <w:color w:val="000000"/>
        </w:rPr>
        <w:t>L</w:t>
      </w:r>
      <w:r w:rsidR="00294EC7" w:rsidRPr="00294EC7">
        <w:rPr>
          <w:rFonts w:asciiTheme="minorHAnsi" w:hAnsiTheme="minorHAnsi" w:cstheme="minorHAnsi"/>
          <w:color w:val="000000"/>
        </w:rPr>
        <w:t>ei que “</w:t>
      </w:r>
      <w:r w:rsidR="00294EC7" w:rsidRPr="00294EC7">
        <w:rPr>
          <w:rFonts w:asciiTheme="minorHAnsi" w:hAnsiTheme="minorHAnsi" w:cstheme="minorHAnsi"/>
          <w:i/>
          <w:color w:val="000000"/>
        </w:rPr>
        <w:t>AUTORIZA O MUNICÍPIO A EXPEDIR LICENÇA PARA MOVIMENTAÇÃO DE TERRA E DISCIPLINA OS PROCE</w:t>
      </w:r>
      <w:r>
        <w:rPr>
          <w:rFonts w:asciiTheme="minorHAnsi" w:hAnsiTheme="minorHAnsi" w:cstheme="minorHAnsi"/>
          <w:i/>
          <w:color w:val="000000"/>
        </w:rPr>
        <w:t>-</w:t>
      </w:r>
      <w:r w:rsidR="00294EC7" w:rsidRPr="00294EC7">
        <w:rPr>
          <w:rFonts w:asciiTheme="minorHAnsi" w:hAnsiTheme="minorHAnsi" w:cstheme="minorHAnsi"/>
          <w:i/>
          <w:color w:val="000000"/>
        </w:rPr>
        <w:t>DIMENTOS PARA SUA CONCESSÃO</w:t>
      </w:r>
      <w:r w:rsidR="00294EC7" w:rsidRPr="00294EC7">
        <w:rPr>
          <w:rFonts w:asciiTheme="minorHAnsi" w:hAnsiTheme="minorHAnsi" w:cstheme="minorHAnsi"/>
          <w:color w:val="000000"/>
        </w:rPr>
        <w:t xml:space="preserve">”, </w:t>
      </w:r>
      <w:r w:rsidR="00294EC7">
        <w:rPr>
          <w:rFonts w:asciiTheme="minorHAnsi" w:hAnsiTheme="minorHAnsi" w:cstheme="minorHAnsi"/>
          <w:color w:val="000000"/>
        </w:rPr>
        <w:t>P</w:t>
      </w:r>
      <w:r w:rsidR="00294EC7" w:rsidRPr="00294EC7">
        <w:rPr>
          <w:rFonts w:asciiTheme="minorHAnsi" w:hAnsiTheme="minorHAnsi" w:cstheme="minorHAnsi"/>
          <w:color w:val="000000"/>
        </w:rPr>
        <w:t xml:space="preserve">rojeto de </w:t>
      </w:r>
      <w:r w:rsidR="00294EC7">
        <w:rPr>
          <w:rFonts w:asciiTheme="minorHAnsi" w:hAnsiTheme="minorHAnsi" w:cstheme="minorHAnsi"/>
          <w:color w:val="000000"/>
        </w:rPr>
        <w:t>L</w:t>
      </w:r>
      <w:r w:rsidR="00294EC7" w:rsidRPr="00294EC7">
        <w:rPr>
          <w:rFonts w:asciiTheme="minorHAnsi" w:hAnsiTheme="minorHAnsi" w:cstheme="minorHAnsi"/>
          <w:color w:val="000000"/>
        </w:rPr>
        <w:t>ei que “</w:t>
      </w:r>
      <w:r w:rsidR="00294EC7" w:rsidRPr="00294EC7">
        <w:rPr>
          <w:rFonts w:asciiTheme="minorHAnsi" w:hAnsiTheme="minorHAnsi" w:cstheme="minorHAnsi"/>
          <w:i/>
          <w:color w:val="000000"/>
        </w:rPr>
        <w:t>Institui Lei de Regularização de Construções Irregulares no Meio Urbano e Rural de Veranópolis e dá outras providências</w:t>
      </w:r>
      <w:r w:rsidR="00294EC7">
        <w:rPr>
          <w:rFonts w:asciiTheme="minorHAnsi" w:hAnsiTheme="minorHAnsi" w:cstheme="minorHAnsi"/>
          <w:i/>
          <w:color w:val="000000"/>
        </w:rPr>
        <w:t>,</w:t>
      </w:r>
      <w:r w:rsidR="00294EC7" w:rsidRPr="00294EC7">
        <w:rPr>
          <w:rFonts w:asciiTheme="minorHAnsi" w:hAnsiTheme="minorHAnsi" w:cstheme="minorHAnsi"/>
          <w:color w:val="000000"/>
        </w:rPr>
        <w:t xml:space="preserve"> </w:t>
      </w:r>
      <w:r>
        <w:rPr>
          <w:rFonts w:asciiTheme="minorHAnsi" w:hAnsiTheme="minorHAnsi" w:cstheme="minorHAnsi"/>
          <w:color w:val="000000"/>
        </w:rPr>
        <w:t>Projeto de Lei que “</w:t>
      </w:r>
      <w:r w:rsidR="00294EC7" w:rsidRPr="00F90E2B">
        <w:rPr>
          <w:rFonts w:asciiTheme="minorHAnsi" w:hAnsiTheme="minorHAnsi" w:cstheme="minorHAnsi"/>
          <w:i/>
        </w:rPr>
        <w:t>DISPÕE SOBRE O PLANO DIRETOR DE DESENVOLVIMENTO URBA</w:t>
      </w:r>
      <w:r>
        <w:rPr>
          <w:rFonts w:asciiTheme="minorHAnsi" w:hAnsiTheme="minorHAnsi" w:cstheme="minorHAnsi"/>
          <w:i/>
        </w:rPr>
        <w:t>NO AMBIENTAL E RURAL INTEGRADO -</w:t>
      </w:r>
      <w:r w:rsidR="00294EC7" w:rsidRPr="00F90E2B">
        <w:rPr>
          <w:rFonts w:asciiTheme="minorHAnsi" w:hAnsiTheme="minorHAnsi" w:cstheme="minorHAnsi"/>
          <w:i/>
        </w:rPr>
        <w:t xml:space="preserve"> PDDUARI DO MUNICÍPIO DE VERANÓPOLIS, ESTABELECENDO AS DIRETRIZES GERAIS DA POLÍTICA MUNICIPAL DE DESENVOLVIMENTO TERRITORIAL, E DÁ OUTRAS PROVIDÊNCIAS</w:t>
      </w:r>
      <w:r>
        <w:rPr>
          <w:rFonts w:asciiTheme="minorHAnsi" w:hAnsiTheme="minorHAnsi" w:cstheme="minorHAnsi"/>
          <w:i/>
        </w:rPr>
        <w:t>”</w:t>
      </w:r>
      <w:r>
        <w:rPr>
          <w:rFonts w:asciiTheme="minorHAnsi" w:hAnsiTheme="minorHAnsi" w:cstheme="minorHAnsi"/>
          <w:color w:val="000000"/>
        </w:rPr>
        <w:t xml:space="preserve"> e</w:t>
      </w:r>
      <w:r w:rsidR="00C9664C" w:rsidRPr="00294EC7">
        <w:rPr>
          <w:rFonts w:asciiTheme="minorHAnsi" w:hAnsiTheme="minorHAnsi" w:cstheme="minorHAnsi"/>
          <w:color w:val="000000"/>
        </w:rPr>
        <w:t xml:space="preserve"> </w:t>
      </w:r>
      <w:r>
        <w:rPr>
          <w:rFonts w:asciiTheme="minorHAnsi" w:hAnsiTheme="minorHAnsi" w:cstheme="minorHAnsi"/>
          <w:color w:val="000000"/>
        </w:rPr>
        <w:t>Projeto de Lei que “</w:t>
      </w:r>
      <w:r w:rsidRPr="00F90E2B">
        <w:rPr>
          <w:rFonts w:asciiTheme="minorHAnsi" w:hAnsiTheme="minorHAnsi" w:cstheme="minorHAnsi"/>
          <w:i/>
        </w:rPr>
        <w:t>DISPÕE SOBRE LOTEAMENTOS, DESMEMBRAMENTOS, FRACIONAMENTOS DE IMÓVEIS URBANOS E ARRUAMENTOS NO MUNICÍPIO E DÁ OUTRAS PROVIDÊNCIAS</w:t>
      </w:r>
      <w:r>
        <w:rPr>
          <w:rFonts w:asciiTheme="minorHAnsi" w:hAnsiTheme="minorHAnsi" w:cstheme="minorHAnsi"/>
          <w:color w:val="000000"/>
        </w:rPr>
        <w:t>”</w:t>
      </w:r>
      <w:r w:rsidR="00C9664C" w:rsidRPr="00294EC7">
        <w:rPr>
          <w:rFonts w:asciiTheme="minorHAnsi" w:hAnsiTheme="minorHAnsi" w:cstheme="minorHAnsi"/>
          <w:color w:val="000000"/>
        </w:rPr>
        <w:t>.</w:t>
      </w:r>
    </w:p>
    <w:p w:rsidR="00EC3480" w:rsidRPr="00294EC7" w:rsidRDefault="00EC3480" w:rsidP="00847754">
      <w:pPr>
        <w:tabs>
          <w:tab w:val="left" w:pos="1418"/>
        </w:tabs>
        <w:jc w:val="both"/>
        <w:rPr>
          <w:rFonts w:asciiTheme="minorHAnsi" w:hAnsiTheme="minorHAnsi" w:cstheme="minorHAnsi"/>
          <w:color w:val="000000"/>
        </w:rPr>
      </w:pPr>
    </w:p>
    <w:p w:rsidR="00277843" w:rsidRPr="00294EC7" w:rsidRDefault="00277843" w:rsidP="00277843">
      <w:pPr>
        <w:tabs>
          <w:tab w:val="left" w:pos="1418"/>
        </w:tabs>
        <w:jc w:val="both"/>
        <w:rPr>
          <w:rFonts w:asciiTheme="minorHAnsi" w:hAnsiTheme="minorHAnsi" w:cstheme="minorHAnsi"/>
          <w:b/>
        </w:rPr>
      </w:pPr>
      <w:r w:rsidRPr="00294EC7">
        <w:rPr>
          <w:rFonts w:asciiTheme="minorHAnsi" w:hAnsiTheme="minorHAnsi" w:cstheme="minorHAnsi"/>
          <w:b/>
        </w:rPr>
        <w:t>FUNDAMENTAÇÃO LEGAL</w:t>
      </w:r>
    </w:p>
    <w:p w:rsidR="00277843" w:rsidRPr="00294EC7" w:rsidRDefault="00277843" w:rsidP="00277843">
      <w:pPr>
        <w:tabs>
          <w:tab w:val="left" w:pos="1418"/>
        </w:tabs>
        <w:jc w:val="both"/>
        <w:rPr>
          <w:rFonts w:asciiTheme="minorHAnsi" w:hAnsiTheme="minorHAnsi" w:cstheme="minorHAnsi"/>
          <w:b/>
        </w:rPr>
      </w:pPr>
    </w:p>
    <w:p w:rsidR="004D2CDF"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rPr>
        <w:t xml:space="preserve">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“o conjunto de prerrogativas de ordem patrimonial e de ordem não patrimonial atribuídas ao autor de obra intelectual que, de alguma maneira, satisfaça algum interesse cultural de natureza artística, científica, didática, religiosa, ou de mero </w:t>
      </w:r>
      <w:proofErr w:type="gramStart"/>
      <w:r w:rsidRPr="00294EC7">
        <w:rPr>
          <w:rFonts w:asciiTheme="minorHAnsi" w:hAnsiTheme="minorHAnsi" w:cstheme="minorHAnsi"/>
        </w:rPr>
        <w:t>entretenimento.”</w:t>
      </w:r>
      <w:proofErr w:type="gramEnd"/>
      <w:r w:rsidRPr="00294EC7">
        <w:rPr>
          <w:rFonts w:asciiTheme="minorHAnsi" w:hAnsiTheme="minorHAnsi" w:cstheme="minorHAnsi"/>
        </w:rPr>
        <w:t xml:space="preserve"> (Fonte: livro, o que é direito autoral? 2ª ed. São Paulo: Brasiliense, 2002, 99 pp.).</w:t>
      </w:r>
    </w:p>
    <w:p w:rsidR="004D2CDF" w:rsidRPr="00294EC7" w:rsidRDefault="004D2CDF" w:rsidP="004D2CDF">
      <w:pPr>
        <w:tabs>
          <w:tab w:val="left" w:pos="1418"/>
        </w:tabs>
        <w:jc w:val="both"/>
        <w:rPr>
          <w:rFonts w:asciiTheme="minorHAnsi" w:hAnsiTheme="minorHAnsi" w:cstheme="minorHAnsi"/>
        </w:rPr>
      </w:pPr>
    </w:p>
    <w:p w:rsidR="004D2CDF"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rPr>
        <w:lastRenderedPageBreak/>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D2CDF" w:rsidRPr="00294EC7" w:rsidRDefault="004D2CDF" w:rsidP="004D2CDF">
      <w:pPr>
        <w:tabs>
          <w:tab w:val="left" w:pos="1418"/>
        </w:tabs>
        <w:jc w:val="both"/>
        <w:rPr>
          <w:rFonts w:asciiTheme="minorHAnsi" w:hAnsiTheme="minorHAnsi" w:cstheme="minorHAnsi"/>
        </w:rPr>
      </w:pP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Art. 7º São obras intelectuais protegidas as criações do espírito, expressas por qualquer meio ou fixadas em qualquer suporte, tangível ou intangível, conhecido ou que se invente no futuro, tais como: </w:t>
      </w: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X - </w:t>
      </w:r>
      <w:proofErr w:type="gramStart"/>
      <w:r w:rsidRPr="00294EC7">
        <w:rPr>
          <w:rFonts w:asciiTheme="minorHAnsi" w:hAnsiTheme="minorHAnsi" w:cstheme="minorHAnsi"/>
          <w:i/>
        </w:rPr>
        <w:t>os</w:t>
      </w:r>
      <w:proofErr w:type="gramEnd"/>
      <w:r w:rsidRPr="00294EC7">
        <w:rPr>
          <w:rFonts w:asciiTheme="minorHAnsi" w:hAnsiTheme="minorHAnsi" w:cstheme="minorHAnsi"/>
          <w:i/>
        </w:rPr>
        <w:t xml:space="preserve"> projetos, esboços e obras plásticas concernentes à geografia, engenharia, topografia, arquitetura, paisagismo, cenografia e ciência.</w:t>
      </w:r>
    </w:p>
    <w:p w:rsidR="004D2CDF" w:rsidRPr="00294EC7" w:rsidRDefault="004D2CDF" w:rsidP="00277843">
      <w:pPr>
        <w:pStyle w:val="Default"/>
        <w:ind w:left="-11"/>
        <w:jc w:val="both"/>
        <w:rPr>
          <w:rFonts w:asciiTheme="minorHAnsi" w:hAnsiTheme="minorHAnsi" w:cstheme="minorHAnsi"/>
          <w:color w:val="auto"/>
        </w:rPr>
      </w:pPr>
    </w:p>
    <w:p w:rsidR="004D2CDF"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rPr>
        <w:t>Ainda, consoante artigo 19 da Lei nº 9.610/19</w:t>
      </w:r>
      <w:r w:rsidR="00F90E2B">
        <w:rPr>
          <w:rFonts w:asciiTheme="minorHAnsi" w:hAnsiTheme="minorHAnsi" w:cstheme="minorHAnsi"/>
        </w:rPr>
        <w:t>98, em conjunto com o artigo 17</w:t>
      </w:r>
      <w:r w:rsidRPr="00294EC7">
        <w:rPr>
          <w:rFonts w:asciiTheme="minorHAnsi" w:hAnsiTheme="minorHAnsi" w:cstheme="minorHAnsi"/>
        </w:rPr>
        <w:t xml:space="preserve"> da Lei nº 5.988/1973 (artigo ainda em vigor e referen</w:t>
      </w:r>
      <w:r w:rsidR="00F90E2B">
        <w:rPr>
          <w:rFonts w:asciiTheme="minorHAnsi" w:hAnsiTheme="minorHAnsi" w:cstheme="minorHAnsi"/>
        </w:rPr>
        <w:t>dado pelo artigo 19</w:t>
      </w:r>
      <w:r w:rsidRPr="00294EC7">
        <w:rPr>
          <w:rFonts w:asciiTheme="minorHAnsi" w:hAnsiTheme="minorHAnsi" w:cstheme="minorHAnsi"/>
        </w:rPr>
        <w:t xml:space="preserve"> da Lei de Direito Autoral) conclui-se que o Conselho de Arquitetura e Urbanismo é o órgão afim para registro de tais obras arquitetônicas. Seguem dispositivos legais:</w:t>
      </w:r>
    </w:p>
    <w:p w:rsidR="004D2CDF" w:rsidRPr="00294EC7" w:rsidRDefault="004D2CDF" w:rsidP="004D2CDF">
      <w:pPr>
        <w:tabs>
          <w:tab w:val="left" w:pos="1418"/>
        </w:tabs>
        <w:jc w:val="both"/>
        <w:rPr>
          <w:rFonts w:asciiTheme="minorHAnsi" w:hAnsiTheme="minorHAnsi" w:cstheme="minorHAnsi"/>
        </w:rPr>
      </w:pPr>
    </w:p>
    <w:p w:rsidR="004D2CDF" w:rsidRPr="00294EC7" w:rsidRDefault="00105DD4" w:rsidP="004D2CDF">
      <w:pPr>
        <w:tabs>
          <w:tab w:val="left" w:pos="1418"/>
        </w:tabs>
        <w:jc w:val="both"/>
        <w:rPr>
          <w:rFonts w:asciiTheme="minorHAnsi" w:hAnsiTheme="minorHAnsi" w:cstheme="minorHAnsi"/>
          <w:u w:val="single"/>
        </w:rPr>
      </w:pPr>
      <w:r w:rsidRPr="00294EC7">
        <w:rPr>
          <w:rFonts w:asciiTheme="minorHAnsi" w:hAnsiTheme="minorHAnsi" w:cstheme="minorHAnsi"/>
          <w:u w:val="single"/>
        </w:rPr>
        <w:t>Lei 9.610/1998</w:t>
      </w:r>
    </w:p>
    <w:p w:rsidR="004D2CDF" w:rsidRPr="00294EC7" w:rsidRDefault="004D2CDF" w:rsidP="004D2CDF">
      <w:pPr>
        <w:tabs>
          <w:tab w:val="left" w:pos="1418"/>
        </w:tabs>
        <w:ind w:left="1418"/>
        <w:jc w:val="both"/>
        <w:rPr>
          <w:rFonts w:asciiTheme="minorHAnsi" w:hAnsiTheme="minorHAnsi" w:cstheme="minorHAnsi"/>
          <w:i/>
        </w:rPr>
      </w:pP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Art. 19. É facultado ao autor registrar a sua obra no órgão público definido no caput e no § 1º do art. 17 da Lei nº 5.988, de 14 de dezembro de </w:t>
      </w:r>
      <w:proofErr w:type="gramStart"/>
      <w:r w:rsidRPr="00294EC7">
        <w:rPr>
          <w:rFonts w:asciiTheme="minorHAnsi" w:hAnsiTheme="minorHAnsi" w:cstheme="minorHAnsi"/>
          <w:i/>
        </w:rPr>
        <w:t>1973.”</w:t>
      </w:r>
      <w:proofErr w:type="gramEnd"/>
    </w:p>
    <w:p w:rsidR="00105DD4" w:rsidRPr="00294EC7" w:rsidRDefault="00105DD4" w:rsidP="004D2CDF">
      <w:pPr>
        <w:tabs>
          <w:tab w:val="left" w:pos="1418"/>
        </w:tabs>
        <w:jc w:val="both"/>
        <w:rPr>
          <w:rFonts w:asciiTheme="minorHAnsi" w:hAnsiTheme="minorHAnsi" w:cstheme="minorHAnsi"/>
        </w:rPr>
      </w:pPr>
    </w:p>
    <w:p w:rsidR="004D2CDF" w:rsidRPr="00294EC7" w:rsidRDefault="004D2CDF" w:rsidP="004D2CDF">
      <w:pPr>
        <w:tabs>
          <w:tab w:val="left" w:pos="1418"/>
        </w:tabs>
        <w:jc w:val="both"/>
        <w:rPr>
          <w:rFonts w:asciiTheme="minorHAnsi" w:hAnsiTheme="minorHAnsi" w:cstheme="minorHAnsi"/>
          <w:u w:val="single"/>
        </w:rPr>
      </w:pPr>
      <w:r w:rsidRPr="00294EC7">
        <w:rPr>
          <w:rFonts w:asciiTheme="minorHAnsi" w:hAnsiTheme="minorHAnsi" w:cstheme="minorHAnsi"/>
          <w:u w:val="single"/>
        </w:rPr>
        <w:t>Lei nº 5.988/73</w:t>
      </w:r>
    </w:p>
    <w:p w:rsidR="004D2CDF" w:rsidRPr="00294EC7" w:rsidRDefault="004D2CDF" w:rsidP="004D2CDF">
      <w:pPr>
        <w:tabs>
          <w:tab w:val="left" w:pos="1418"/>
        </w:tabs>
        <w:ind w:left="1418"/>
        <w:jc w:val="both"/>
        <w:rPr>
          <w:rFonts w:asciiTheme="minorHAnsi" w:hAnsiTheme="minorHAnsi" w:cstheme="minorHAnsi"/>
          <w:i/>
        </w:rPr>
      </w:pPr>
    </w:p>
    <w:p w:rsidR="004D2CDF"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AE45DA" w:rsidRPr="00294EC7" w:rsidRDefault="00AE45DA" w:rsidP="004D2CDF">
      <w:pPr>
        <w:tabs>
          <w:tab w:val="left" w:pos="1418"/>
        </w:tabs>
        <w:ind w:left="1418"/>
        <w:jc w:val="both"/>
        <w:rPr>
          <w:rFonts w:asciiTheme="minorHAnsi" w:hAnsiTheme="minorHAnsi" w:cstheme="minorHAnsi"/>
          <w:i/>
        </w:rPr>
      </w:pP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 1º Se a obra for de natureza que comporte registro em mais de um desses órgãos, deverá ser registrada naquele com que tiver maior </w:t>
      </w:r>
      <w:proofErr w:type="gramStart"/>
      <w:r w:rsidRPr="00294EC7">
        <w:rPr>
          <w:rFonts w:asciiTheme="minorHAnsi" w:hAnsiTheme="minorHAnsi" w:cstheme="minorHAnsi"/>
          <w:i/>
        </w:rPr>
        <w:t>afinidade.”</w:t>
      </w:r>
      <w:proofErr w:type="gramEnd"/>
    </w:p>
    <w:p w:rsidR="004D2CDF" w:rsidRPr="00294EC7" w:rsidRDefault="004D2CDF" w:rsidP="004D2CDF">
      <w:pPr>
        <w:tabs>
          <w:tab w:val="left" w:pos="1418"/>
        </w:tabs>
        <w:jc w:val="both"/>
        <w:rPr>
          <w:rFonts w:asciiTheme="minorHAnsi" w:hAnsiTheme="minorHAnsi" w:cstheme="minorHAnsi"/>
        </w:rPr>
      </w:pPr>
    </w:p>
    <w:p w:rsidR="004D2CDF"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rPr>
        <w:t xml:space="preserve">Cabe destacar que a Resolução n° 67 do CAU/BR dispõe sobre os direitos autorais na Arquitetura e Urbanismo e estabelece normas e condições para o registro de obras intelectuais no Conselho de Arquitetura e Urbanismo. Conforme art. 7° da referida Resolução, para fins de direitos autorais é facultado ao arquiteto e urbanista, brasileiro ou estrangeiro, com registro ativo no CAU/RS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lastRenderedPageBreak/>
        <w:t>Art. 8°. O registro deverá ser solicitado pelo Arquiteto e Urbanista por meio de requerimento específico disponível no ambiente profissional do sistema de informação e comunicação do conselho de arquitetura e urbanismo (</w:t>
      </w:r>
      <w:proofErr w:type="spellStart"/>
      <w:r w:rsidRPr="00294EC7">
        <w:rPr>
          <w:rFonts w:asciiTheme="minorHAnsi" w:hAnsiTheme="minorHAnsi" w:cstheme="minorHAnsi"/>
          <w:i/>
        </w:rPr>
        <w:t>siccau</w:t>
      </w:r>
      <w:proofErr w:type="spellEnd"/>
      <w:r w:rsidRPr="00294EC7">
        <w:rPr>
          <w:rFonts w:asciiTheme="minorHAnsi" w:hAnsiTheme="minorHAnsi" w:cstheme="minorHAnsi"/>
          <w:i/>
        </w:rPr>
        <w:t>).</w:t>
      </w:r>
    </w:p>
    <w:p w:rsidR="00F90E2B" w:rsidRPr="00294EC7" w:rsidRDefault="00F90E2B" w:rsidP="004D2CDF">
      <w:pPr>
        <w:tabs>
          <w:tab w:val="left" w:pos="1418"/>
        </w:tabs>
        <w:ind w:left="1418"/>
        <w:jc w:val="both"/>
        <w:rPr>
          <w:rFonts w:asciiTheme="minorHAnsi" w:hAnsiTheme="minorHAnsi" w:cstheme="minorHAnsi"/>
          <w:i/>
        </w:rPr>
      </w:pPr>
    </w:p>
    <w:p w:rsidR="004D2CDF"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F90E2B" w:rsidRPr="00294EC7" w:rsidRDefault="00F90E2B" w:rsidP="004D2CDF">
      <w:pPr>
        <w:tabs>
          <w:tab w:val="left" w:pos="1418"/>
        </w:tabs>
        <w:ind w:left="1418"/>
        <w:jc w:val="both"/>
        <w:rPr>
          <w:rFonts w:asciiTheme="minorHAnsi" w:hAnsiTheme="minorHAnsi" w:cstheme="minorHAnsi"/>
          <w:i/>
        </w:rPr>
      </w:pPr>
    </w:p>
    <w:p w:rsidR="004D2CDF"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Art. 9° O requerimento constituirá processo administrativo a ser submetido à apreciação da comissão de exercício profissional do Conselho de Arquitetura e Urbanismo da unidade da federação (</w:t>
      </w:r>
      <w:r w:rsidR="00F90E2B" w:rsidRPr="00294EC7">
        <w:rPr>
          <w:rFonts w:asciiTheme="minorHAnsi" w:hAnsiTheme="minorHAnsi" w:cstheme="minorHAnsi"/>
          <w:i/>
        </w:rPr>
        <w:t>CEP-CAU/UF</w:t>
      </w:r>
      <w:r w:rsidRPr="00294EC7">
        <w:rPr>
          <w:rFonts w:asciiTheme="minorHAnsi" w:hAnsiTheme="minorHAnsi" w:cstheme="minorHAnsi"/>
          <w:i/>
        </w:rPr>
        <w:t>) pertinente, que, após o exame dos autos, deliberará acerca do registro requerido.</w:t>
      </w:r>
    </w:p>
    <w:p w:rsidR="00F90E2B" w:rsidRPr="00294EC7" w:rsidRDefault="00F90E2B" w:rsidP="004D2CDF">
      <w:pPr>
        <w:tabs>
          <w:tab w:val="left" w:pos="1418"/>
        </w:tabs>
        <w:ind w:left="1418"/>
        <w:jc w:val="both"/>
        <w:rPr>
          <w:rFonts w:asciiTheme="minorHAnsi" w:hAnsiTheme="minorHAnsi" w:cstheme="minorHAnsi"/>
          <w:i/>
        </w:rPr>
      </w:pPr>
    </w:p>
    <w:p w:rsidR="004D2CDF" w:rsidRPr="00294EC7" w:rsidRDefault="004D2CDF" w:rsidP="004D2CDF">
      <w:pPr>
        <w:tabs>
          <w:tab w:val="left" w:pos="1418"/>
        </w:tabs>
        <w:ind w:left="1418"/>
        <w:jc w:val="both"/>
        <w:rPr>
          <w:rFonts w:asciiTheme="minorHAnsi" w:hAnsiTheme="minorHAnsi" w:cstheme="minorHAnsi"/>
        </w:rPr>
      </w:pPr>
      <w:r w:rsidRPr="00294EC7">
        <w:rPr>
          <w:rFonts w:asciiTheme="minorHAnsi" w:hAnsiTheme="minorHAnsi" w:cstheme="minorHAnsi"/>
          <w:i/>
        </w:rPr>
        <w:t>§ 1° a CEP-CAU/UF, quando julgar necessário, poderá efetuar diligências ou requisitar outros documentos para subsidiar sua análise e decisão acerca da matéria.</w:t>
      </w:r>
      <w:r w:rsidRPr="00294EC7">
        <w:rPr>
          <w:rFonts w:asciiTheme="minorHAnsi" w:hAnsiTheme="minorHAnsi" w:cstheme="minorHAnsi"/>
        </w:rPr>
        <w:t xml:space="preserve"> </w:t>
      </w:r>
    </w:p>
    <w:p w:rsidR="004D2CDF" w:rsidRPr="00294EC7" w:rsidRDefault="004D2CDF" w:rsidP="004D2CDF">
      <w:pPr>
        <w:tabs>
          <w:tab w:val="left" w:pos="1418"/>
        </w:tabs>
        <w:jc w:val="both"/>
        <w:rPr>
          <w:rFonts w:asciiTheme="minorHAnsi" w:hAnsiTheme="minorHAnsi" w:cstheme="minorHAnsi"/>
        </w:rPr>
      </w:pPr>
    </w:p>
    <w:p w:rsidR="004D2CDF"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rPr>
        <w:t>Nessa seara, seguem abaixo os seguintes artigos da Resolução 67, os quais dispõem o seguinte:</w:t>
      </w:r>
    </w:p>
    <w:p w:rsidR="004D2CDF" w:rsidRPr="00294EC7" w:rsidRDefault="004D2CDF" w:rsidP="004D2CDF">
      <w:pPr>
        <w:tabs>
          <w:tab w:val="left" w:pos="1418"/>
        </w:tabs>
        <w:jc w:val="both"/>
        <w:rPr>
          <w:rFonts w:asciiTheme="minorHAnsi" w:hAnsiTheme="minorHAnsi" w:cstheme="minorHAnsi"/>
        </w:rPr>
      </w:pPr>
    </w:p>
    <w:p w:rsidR="004D2CDF"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Art. 10. Pela análise do processo administrativo será cobrado, a título de expediente, o valor de 2 (duas) vezes a taxa de RRT. Parágrafo único. O pagamento a que se refere o caput deverá ser efetuado no ato do requerimento e independe de deferimento do pleito. </w:t>
      </w:r>
    </w:p>
    <w:p w:rsidR="00F90E2B" w:rsidRPr="00294EC7" w:rsidRDefault="00F90E2B" w:rsidP="004D2CDF">
      <w:pPr>
        <w:tabs>
          <w:tab w:val="left" w:pos="1418"/>
        </w:tabs>
        <w:ind w:left="1418"/>
        <w:jc w:val="both"/>
        <w:rPr>
          <w:rFonts w:asciiTheme="minorHAnsi" w:hAnsiTheme="minorHAnsi" w:cstheme="minorHAnsi"/>
          <w:i/>
        </w:rPr>
      </w:pPr>
    </w:p>
    <w:p w:rsidR="004D2CDF"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Art. 11. O registro deverá ser efetuado com base nas informações do requerente, sendo estas de inteira responsabilidade do mesmo.</w:t>
      </w:r>
    </w:p>
    <w:p w:rsidR="00F90E2B" w:rsidRPr="00294EC7" w:rsidRDefault="00F90E2B" w:rsidP="004D2CDF">
      <w:pPr>
        <w:tabs>
          <w:tab w:val="left" w:pos="1418"/>
        </w:tabs>
        <w:ind w:left="1418"/>
        <w:jc w:val="both"/>
        <w:rPr>
          <w:rFonts w:asciiTheme="minorHAnsi" w:hAnsiTheme="minorHAnsi" w:cstheme="minorHAnsi"/>
          <w:i/>
        </w:rPr>
      </w:pP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Art. 12. Deferido o registro, este será cadastrado no SICCAU com os seguintes dados:</w:t>
      </w: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I - </w:t>
      </w:r>
      <w:proofErr w:type="gramStart"/>
      <w:r w:rsidRPr="00294EC7">
        <w:rPr>
          <w:rFonts w:asciiTheme="minorHAnsi" w:hAnsiTheme="minorHAnsi" w:cstheme="minorHAnsi"/>
          <w:i/>
        </w:rPr>
        <w:t>número</w:t>
      </w:r>
      <w:proofErr w:type="gramEnd"/>
      <w:r w:rsidRPr="00294EC7">
        <w:rPr>
          <w:rFonts w:asciiTheme="minorHAnsi" w:hAnsiTheme="minorHAnsi" w:cstheme="minorHAnsi"/>
          <w:i/>
        </w:rPr>
        <w:t xml:space="preserve"> de ordem;</w:t>
      </w: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II - </w:t>
      </w:r>
      <w:proofErr w:type="gramStart"/>
      <w:r w:rsidRPr="00294EC7">
        <w:rPr>
          <w:rFonts w:asciiTheme="minorHAnsi" w:hAnsiTheme="minorHAnsi" w:cstheme="minorHAnsi"/>
          <w:i/>
        </w:rPr>
        <w:t>data</w:t>
      </w:r>
      <w:proofErr w:type="gramEnd"/>
      <w:r w:rsidRPr="00294EC7">
        <w:rPr>
          <w:rFonts w:asciiTheme="minorHAnsi" w:hAnsiTheme="minorHAnsi" w:cstheme="minorHAnsi"/>
          <w:i/>
        </w:rPr>
        <w:t xml:space="preserve"> do registro; </w:t>
      </w: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III - identificação do autor ou, se for o caso, dos coautores;</w:t>
      </w:r>
    </w:p>
    <w:p w:rsidR="004D2CDF" w:rsidRPr="00294EC7" w:rsidRDefault="004D2CDF" w:rsidP="004D2CDF">
      <w:pPr>
        <w:tabs>
          <w:tab w:val="left" w:pos="1418"/>
        </w:tabs>
        <w:ind w:left="1418"/>
        <w:jc w:val="both"/>
        <w:rPr>
          <w:rFonts w:asciiTheme="minorHAnsi" w:hAnsiTheme="minorHAnsi" w:cstheme="minorHAnsi"/>
          <w:i/>
        </w:rPr>
      </w:pPr>
      <w:r w:rsidRPr="00294EC7">
        <w:rPr>
          <w:rFonts w:asciiTheme="minorHAnsi" w:hAnsiTheme="minorHAnsi" w:cstheme="minorHAnsi"/>
          <w:i/>
        </w:rPr>
        <w:t xml:space="preserve">IV - identificação e descrição da obra intelectual </w:t>
      </w:r>
      <w:proofErr w:type="gramStart"/>
      <w:r w:rsidRPr="00294EC7">
        <w:rPr>
          <w:rFonts w:asciiTheme="minorHAnsi" w:hAnsiTheme="minorHAnsi" w:cstheme="minorHAnsi"/>
          <w:i/>
        </w:rPr>
        <w:t>registrada.”</w:t>
      </w:r>
      <w:proofErr w:type="gramEnd"/>
    </w:p>
    <w:p w:rsidR="009147BD" w:rsidRPr="00294EC7" w:rsidRDefault="009147BD" w:rsidP="004D2CDF">
      <w:pPr>
        <w:tabs>
          <w:tab w:val="left" w:pos="1418"/>
        </w:tabs>
        <w:ind w:left="1418"/>
        <w:jc w:val="both"/>
        <w:rPr>
          <w:rFonts w:asciiTheme="minorHAnsi" w:hAnsiTheme="minorHAnsi" w:cstheme="minorHAnsi"/>
          <w:i/>
        </w:rPr>
      </w:pPr>
    </w:p>
    <w:p w:rsidR="004D2CDF"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rsidR="004D2CDF" w:rsidRDefault="004D2CDF" w:rsidP="004D2CDF">
      <w:pPr>
        <w:tabs>
          <w:tab w:val="left" w:pos="1418"/>
        </w:tabs>
        <w:jc w:val="both"/>
        <w:rPr>
          <w:rFonts w:asciiTheme="minorHAnsi" w:hAnsiTheme="minorHAnsi" w:cstheme="minorHAnsi"/>
        </w:rPr>
      </w:pPr>
    </w:p>
    <w:p w:rsidR="00D26422" w:rsidRDefault="00D26422" w:rsidP="004D2CDF">
      <w:pPr>
        <w:tabs>
          <w:tab w:val="left" w:pos="1418"/>
        </w:tabs>
        <w:jc w:val="both"/>
        <w:rPr>
          <w:rFonts w:asciiTheme="minorHAnsi" w:hAnsiTheme="minorHAnsi" w:cstheme="minorHAnsi"/>
        </w:rPr>
      </w:pPr>
    </w:p>
    <w:p w:rsidR="004D2CDF" w:rsidRPr="00294EC7" w:rsidRDefault="004D2CDF" w:rsidP="004D2CDF">
      <w:pPr>
        <w:tabs>
          <w:tab w:val="left" w:pos="1418"/>
        </w:tabs>
        <w:jc w:val="both"/>
        <w:rPr>
          <w:rFonts w:asciiTheme="minorHAnsi" w:hAnsiTheme="minorHAnsi" w:cstheme="minorHAnsi"/>
          <w:b/>
        </w:rPr>
      </w:pPr>
      <w:r w:rsidRPr="00294EC7">
        <w:rPr>
          <w:rFonts w:asciiTheme="minorHAnsi" w:hAnsiTheme="minorHAnsi" w:cstheme="minorHAnsi"/>
          <w:b/>
        </w:rPr>
        <w:lastRenderedPageBreak/>
        <w:t>VOTO</w:t>
      </w:r>
    </w:p>
    <w:p w:rsidR="004D2CDF" w:rsidRPr="00294EC7" w:rsidRDefault="004D2CDF" w:rsidP="004D2CDF">
      <w:pPr>
        <w:tabs>
          <w:tab w:val="left" w:pos="1418"/>
        </w:tabs>
        <w:jc w:val="both"/>
        <w:rPr>
          <w:rFonts w:asciiTheme="minorHAnsi" w:hAnsiTheme="minorHAnsi" w:cstheme="minorHAnsi"/>
          <w:b/>
        </w:rPr>
      </w:pPr>
    </w:p>
    <w:p w:rsidR="00C548B9" w:rsidRPr="00294EC7" w:rsidRDefault="004D2CDF" w:rsidP="00C548B9">
      <w:pPr>
        <w:tabs>
          <w:tab w:val="left" w:pos="1418"/>
        </w:tabs>
        <w:jc w:val="both"/>
        <w:rPr>
          <w:rFonts w:asciiTheme="minorHAnsi" w:hAnsiTheme="minorHAnsi" w:cstheme="minorHAnsi"/>
        </w:rPr>
      </w:pPr>
      <w:r w:rsidRPr="00294EC7">
        <w:rPr>
          <w:rFonts w:asciiTheme="minorHAnsi" w:hAnsiTheme="minorHAnsi" w:cstheme="minorHAnsi"/>
        </w:rPr>
        <w:t xml:space="preserve">Em face do exposto, opino pelo deferimento do registro </w:t>
      </w:r>
      <w:r w:rsidR="00AE45DA">
        <w:rPr>
          <w:rFonts w:asciiTheme="minorHAnsi" w:hAnsiTheme="minorHAnsi" w:cstheme="minorHAnsi"/>
        </w:rPr>
        <w:t xml:space="preserve">de direito autoral, </w:t>
      </w:r>
      <w:r w:rsidRPr="00294EC7">
        <w:rPr>
          <w:rFonts w:asciiTheme="minorHAnsi" w:hAnsiTheme="minorHAnsi" w:cstheme="minorHAnsi"/>
        </w:rPr>
        <w:t>no Conselho de Arquitetura e Urbanismo do Rio Grande do Sul</w:t>
      </w:r>
      <w:r w:rsidR="00AE45DA">
        <w:rPr>
          <w:rFonts w:asciiTheme="minorHAnsi" w:hAnsiTheme="minorHAnsi" w:cstheme="minorHAnsi"/>
        </w:rPr>
        <w:t>,</w:t>
      </w:r>
      <w:r w:rsidRPr="00294EC7">
        <w:rPr>
          <w:rFonts w:asciiTheme="minorHAnsi" w:hAnsiTheme="minorHAnsi" w:cstheme="minorHAnsi"/>
        </w:rPr>
        <w:t xml:space="preserve"> do</w:t>
      </w:r>
      <w:r w:rsidR="00BE4595">
        <w:rPr>
          <w:rFonts w:asciiTheme="minorHAnsi" w:hAnsiTheme="minorHAnsi" w:cstheme="minorHAnsi"/>
        </w:rPr>
        <w:t>s</w:t>
      </w:r>
      <w:r w:rsidRPr="00294EC7">
        <w:rPr>
          <w:rFonts w:asciiTheme="minorHAnsi" w:hAnsiTheme="minorHAnsi" w:cstheme="minorHAnsi"/>
        </w:rPr>
        <w:t xml:space="preserve"> </w:t>
      </w:r>
      <w:r w:rsidR="00BE4595">
        <w:rPr>
          <w:rFonts w:asciiTheme="minorHAnsi" w:hAnsiTheme="minorHAnsi" w:cstheme="minorHAnsi"/>
        </w:rPr>
        <w:t xml:space="preserve">projetos de lei revisando legislações da Prefeitura de Veranópolis do </w:t>
      </w:r>
      <w:r w:rsidR="00C548B9" w:rsidRPr="00294EC7">
        <w:rPr>
          <w:rFonts w:asciiTheme="minorHAnsi" w:hAnsiTheme="minorHAnsi" w:cstheme="minorHAnsi"/>
        </w:rPr>
        <w:t xml:space="preserve">Arq. </w:t>
      </w:r>
      <w:proofErr w:type="gramStart"/>
      <w:r w:rsidR="00BE4595">
        <w:rPr>
          <w:rFonts w:asciiTheme="minorHAnsi" w:hAnsiTheme="minorHAnsi" w:cstheme="minorHAnsi"/>
        </w:rPr>
        <w:t>e</w:t>
      </w:r>
      <w:proofErr w:type="gramEnd"/>
      <w:r w:rsidR="00BE4595">
        <w:rPr>
          <w:rFonts w:asciiTheme="minorHAnsi" w:hAnsiTheme="minorHAnsi" w:cstheme="minorHAnsi"/>
        </w:rPr>
        <w:t xml:space="preserve"> </w:t>
      </w:r>
      <w:r w:rsidR="00C548B9" w:rsidRPr="00294EC7">
        <w:rPr>
          <w:rFonts w:asciiTheme="minorHAnsi" w:hAnsiTheme="minorHAnsi" w:cstheme="minorHAnsi"/>
        </w:rPr>
        <w:t xml:space="preserve">Urb. </w:t>
      </w:r>
      <w:r w:rsidR="00BE4595">
        <w:rPr>
          <w:rFonts w:asciiTheme="minorHAnsi" w:hAnsiTheme="minorHAnsi" w:cstheme="minorHAnsi"/>
        </w:rPr>
        <w:t>G. M. D. C.</w:t>
      </w:r>
      <w:r w:rsidR="00C548B9" w:rsidRPr="00294EC7">
        <w:rPr>
          <w:rFonts w:asciiTheme="minorHAnsi" w:hAnsiTheme="minorHAnsi" w:cstheme="minorHAnsi"/>
        </w:rPr>
        <w:t xml:space="preserve">, CAU nº </w:t>
      </w:r>
      <w:r w:rsidR="00BE4595" w:rsidRPr="00294EC7">
        <w:rPr>
          <w:rFonts w:asciiTheme="minorHAnsi" w:hAnsiTheme="minorHAnsi" w:cstheme="minorHAnsi"/>
        </w:rPr>
        <w:t>A35616-6</w:t>
      </w:r>
      <w:r w:rsidR="00BE4595">
        <w:rPr>
          <w:rFonts w:asciiTheme="minorHAnsi" w:hAnsiTheme="minorHAnsi" w:cstheme="minorHAnsi"/>
        </w:rPr>
        <w:t>.</w:t>
      </w:r>
    </w:p>
    <w:p w:rsidR="004D2CDF" w:rsidRPr="00294EC7" w:rsidRDefault="004D2CDF" w:rsidP="004D2CDF">
      <w:pPr>
        <w:tabs>
          <w:tab w:val="left" w:pos="1418"/>
        </w:tabs>
        <w:jc w:val="both"/>
        <w:rPr>
          <w:rFonts w:asciiTheme="minorHAnsi" w:hAnsiTheme="minorHAnsi" w:cstheme="minorHAnsi"/>
        </w:rPr>
      </w:pPr>
    </w:p>
    <w:p w:rsidR="004D2CDF"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rPr>
        <w:t>Cabe frisar que a referida obra apresenta descrição de suas características essenciais, enquadrando-se, ainda, nas atividades, atribuições e campos de atuação da arquitetura e urbanismo, conforme os artigos 2° e 3° da lei 12.378, de 2010, e as resoluções do CAU/BR.</w:t>
      </w:r>
    </w:p>
    <w:p w:rsidR="004D2CDF" w:rsidRPr="00294EC7" w:rsidRDefault="004D2CDF" w:rsidP="004D2CDF">
      <w:pPr>
        <w:tabs>
          <w:tab w:val="left" w:pos="1418"/>
        </w:tabs>
        <w:jc w:val="both"/>
        <w:rPr>
          <w:rFonts w:asciiTheme="minorHAnsi" w:hAnsiTheme="minorHAnsi" w:cstheme="minorHAnsi"/>
        </w:rPr>
      </w:pPr>
    </w:p>
    <w:p w:rsidR="00277843" w:rsidRPr="00294EC7" w:rsidRDefault="004D2CDF" w:rsidP="004D2CDF">
      <w:pPr>
        <w:tabs>
          <w:tab w:val="left" w:pos="1418"/>
        </w:tabs>
        <w:jc w:val="both"/>
        <w:rPr>
          <w:rFonts w:asciiTheme="minorHAnsi" w:hAnsiTheme="minorHAnsi" w:cstheme="minorHAnsi"/>
        </w:rPr>
      </w:pPr>
      <w:r w:rsidRPr="00294EC7">
        <w:rPr>
          <w:rFonts w:asciiTheme="minorHAnsi" w:hAnsiTheme="minorHAnsi" w:cstheme="minorHAnsi"/>
          <w:b/>
        </w:rPr>
        <w:t>É importante mencionar que o registro da obra intelectual é um ato meramente declaratório, que estabelecerá apenas uma presunção de anterioridade em relação a outros registros com características similares.</w:t>
      </w:r>
    </w:p>
    <w:p w:rsidR="00277843" w:rsidRPr="00294EC7" w:rsidRDefault="00277843" w:rsidP="00277843">
      <w:pPr>
        <w:tabs>
          <w:tab w:val="left" w:pos="1418"/>
        </w:tabs>
        <w:jc w:val="both"/>
        <w:rPr>
          <w:rFonts w:asciiTheme="minorHAnsi" w:hAnsiTheme="minorHAnsi" w:cstheme="minorHAnsi"/>
        </w:rPr>
      </w:pPr>
    </w:p>
    <w:p w:rsidR="004D2CDF" w:rsidRPr="00294EC7" w:rsidRDefault="004D2CDF" w:rsidP="00277843">
      <w:pPr>
        <w:tabs>
          <w:tab w:val="left" w:pos="1418"/>
        </w:tabs>
        <w:jc w:val="both"/>
        <w:rPr>
          <w:rFonts w:asciiTheme="minorHAnsi" w:hAnsiTheme="minorHAnsi" w:cstheme="minorHAnsi"/>
        </w:rPr>
      </w:pPr>
    </w:p>
    <w:p w:rsidR="003902BE" w:rsidRPr="00294EC7" w:rsidRDefault="00AE45DA" w:rsidP="003902BE">
      <w:pPr>
        <w:tabs>
          <w:tab w:val="left" w:pos="1418"/>
        </w:tabs>
        <w:jc w:val="center"/>
        <w:rPr>
          <w:rFonts w:asciiTheme="minorHAnsi" w:hAnsiTheme="minorHAnsi" w:cstheme="minorHAnsi"/>
        </w:rPr>
      </w:pPr>
      <w:r>
        <w:rPr>
          <w:rFonts w:asciiTheme="minorHAnsi" w:hAnsiTheme="minorHAnsi" w:cstheme="minorHAnsi"/>
        </w:rPr>
        <w:t>Porto Alegre -</w:t>
      </w:r>
      <w:r w:rsidR="003902BE" w:rsidRPr="00294EC7">
        <w:rPr>
          <w:rFonts w:asciiTheme="minorHAnsi" w:hAnsiTheme="minorHAnsi" w:cstheme="minorHAnsi"/>
        </w:rPr>
        <w:t xml:space="preserve"> RS, </w:t>
      </w:r>
      <w:r>
        <w:rPr>
          <w:rFonts w:asciiTheme="minorHAnsi" w:hAnsiTheme="minorHAnsi" w:cstheme="minorHAnsi"/>
        </w:rPr>
        <w:t xml:space="preserve">10 </w:t>
      </w:r>
      <w:r w:rsidR="003902BE" w:rsidRPr="00294EC7">
        <w:rPr>
          <w:rFonts w:asciiTheme="minorHAnsi" w:hAnsiTheme="minorHAnsi" w:cstheme="minorHAnsi"/>
        </w:rPr>
        <w:t xml:space="preserve">de </w:t>
      </w:r>
      <w:r>
        <w:rPr>
          <w:rFonts w:asciiTheme="minorHAnsi" w:hAnsiTheme="minorHAnsi" w:cstheme="minorHAnsi"/>
        </w:rPr>
        <w:t>agosto de 2021</w:t>
      </w:r>
      <w:r w:rsidR="003902BE" w:rsidRPr="00294EC7">
        <w:rPr>
          <w:rFonts w:asciiTheme="minorHAnsi" w:hAnsiTheme="minorHAnsi" w:cstheme="minorHAnsi"/>
        </w:rPr>
        <w:t>.</w:t>
      </w:r>
    </w:p>
    <w:p w:rsidR="003902BE" w:rsidRPr="00294EC7" w:rsidRDefault="003902BE" w:rsidP="003902BE">
      <w:pPr>
        <w:tabs>
          <w:tab w:val="left" w:pos="1418"/>
        </w:tabs>
        <w:jc w:val="center"/>
        <w:rPr>
          <w:rFonts w:asciiTheme="minorHAnsi" w:hAnsiTheme="minorHAnsi" w:cstheme="minorHAnsi"/>
        </w:rPr>
      </w:pPr>
    </w:p>
    <w:p w:rsidR="003902BE" w:rsidRPr="00294EC7" w:rsidRDefault="003902BE" w:rsidP="003902BE">
      <w:pPr>
        <w:tabs>
          <w:tab w:val="left" w:pos="1418"/>
        </w:tabs>
        <w:jc w:val="center"/>
        <w:rPr>
          <w:rFonts w:asciiTheme="minorHAnsi" w:hAnsiTheme="minorHAnsi" w:cstheme="minorHAnsi"/>
        </w:rPr>
      </w:pPr>
    </w:p>
    <w:p w:rsidR="003902BE" w:rsidRDefault="003902BE" w:rsidP="003902BE">
      <w:pPr>
        <w:tabs>
          <w:tab w:val="left" w:pos="1418"/>
        </w:tabs>
        <w:jc w:val="center"/>
        <w:rPr>
          <w:rFonts w:asciiTheme="minorHAnsi" w:hAnsiTheme="minorHAnsi" w:cstheme="minorHAnsi"/>
        </w:rPr>
      </w:pPr>
    </w:p>
    <w:p w:rsidR="00AE45DA" w:rsidRPr="00294EC7" w:rsidRDefault="00AE45DA" w:rsidP="003902BE">
      <w:pPr>
        <w:tabs>
          <w:tab w:val="left" w:pos="1418"/>
        </w:tabs>
        <w:jc w:val="center"/>
        <w:rPr>
          <w:rFonts w:asciiTheme="minorHAnsi" w:hAnsiTheme="minorHAnsi" w:cstheme="minorHAnsi"/>
        </w:rPr>
      </w:pPr>
    </w:p>
    <w:p w:rsidR="003902BE" w:rsidRPr="00294EC7" w:rsidRDefault="00AE45DA" w:rsidP="003902BE">
      <w:pPr>
        <w:tabs>
          <w:tab w:val="left" w:pos="1418"/>
        </w:tabs>
        <w:spacing w:after="120"/>
        <w:jc w:val="center"/>
        <w:rPr>
          <w:rFonts w:asciiTheme="minorHAnsi" w:hAnsiTheme="minorHAnsi" w:cstheme="minorHAnsi"/>
        </w:rPr>
      </w:pPr>
      <w:r>
        <w:rPr>
          <w:rFonts w:asciiTheme="minorHAnsi" w:hAnsiTheme="minorHAnsi" w:cstheme="minorHAnsi"/>
        </w:rPr>
        <w:t>Andréa Larruscahim Hamilton Ilha</w:t>
      </w:r>
    </w:p>
    <w:p w:rsidR="00277843" w:rsidRPr="00294EC7" w:rsidRDefault="00AE45DA" w:rsidP="005714CD">
      <w:pPr>
        <w:tabs>
          <w:tab w:val="left" w:pos="1418"/>
        </w:tabs>
        <w:jc w:val="center"/>
        <w:rPr>
          <w:rFonts w:asciiTheme="minorHAnsi" w:hAnsiTheme="minorHAnsi" w:cstheme="minorHAnsi"/>
        </w:rPr>
      </w:pPr>
      <w:r>
        <w:rPr>
          <w:rFonts w:asciiTheme="minorHAnsi" w:hAnsiTheme="minorHAnsi" w:cstheme="minorHAnsi"/>
        </w:rPr>
        <w:t>Conselheira Relatora</w:t>
      </w:r>
      <w:bookmarkStart w:id="0" w:name="_GoBack"/>
      <w:bookmarkEnd w:id="0"/>
    </w:p>
    <w:sectPr w:rsidR="00277843" w:rsidRPr="00294EC7" w:rsidSect="005714CD">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1562C7A4" wp14:editId="099197E7">
          <wp:simplePos x="0" y="0"/>
          <wp:positionH relativeFrom="page">
            <wp:align>left</wp:align>
          </wp:positionH>
          <wp:positionV relativeFrom="paragraph">
            <wp:posOffset>-635635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061E" w:rsidRDefault="005A06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A2D"/>
    <w:rsid w:val="00002C85"/>
    <w:rsid w:val="00003379"/>
    <w:rsid w:val="000058DD"/>
    <w:rsid w:val="000126E7"/>
    <w:rsid w:val="00012A49"/>
    <w:rsid w:val="00015B58"/>
    <w:rsid w:val="00016907"/>
    <w:rsid w:val="000169F0"/>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94EC7"/>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00C8"/>
    <w:rsid w:val="003A2553"/>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AB5"/>
    <w:rsid w:val="004377B1"/>
    <w:rsid w:val="0044351C"/>
    <w:rsid w:val="004525F4"/>
    <w:rsid w:val="004562E7"/>
    <w:rsid w:val="00461DAD"/>
    <w:rsid w:val="0046484B"/>
    <w:rsid w:val="00465855"/>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1FBA"/>
    <w:rsid w:val="004F276C"/>
    <w:rsid w:val="004F4EAC"/>
    <w:rsid w:val="00507D22"/>
    <w:rsid w:val="0051570B"/>
    <w:rsid w:val="005237C7"/>
    <w:rsid w:val="0053004E"/>
    <w:rsid w:val="00544F24"/>
    <w:rsid w:val="005468E9"/>
    <w:rsid w:val="00550848"/>
    <w:rsid w:val="00561DD3"/>
    <w:rsid w:val="00567085"/>
    <w:rsid w:val="005714CD"/>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4962"/>
    <w:rsid w:val="006B5590"/>
    <w:rsid w:val="006C3353"/>
    <w:rsid w:val="006C4086"/>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80024"/>
    <w:rsid w:val="00790962"/>
    <w:rsid w:val="00796F40"/>
    <w:rsid w:val="007A0CF0"/>
    <w:rsid w:val="007A5ED7"/>
    <w:rsid w:val="007B2A7D"/>
    <w:rsid w:val="007B3165"/>
    <w:rsid w:val="007B4928"/>
    <w:rsid w:val="007B556F"/>
    <w:rsid w:val="007B73AD"/>
    <w:rsid w:val="007C30FD"/>
    <w:rsid w:val="007C62B7"/>
    <w:rsid w:val="007E5EA8"/>
    <w:rsid w:val="007E7950"/>
    <w:rsid w:val="007F314D"/>
    <w:rsid w:val="007F49B2"/>
    <w:rsid w:val="00812B82"/>
    <w:rsid w:val="00813436"/>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A2B2A"/>
    <w:rsid w:val="008B1940"/>
    <w:rsid w:val="008B7AF3"/>
    <w:rsid w:val="008C23AC"/>
    <w:rsid w:val="008D3FCF"/>
    <w:rsid w:val="008D440B"/>
    <w:rsid w:val="008D5765"/>
    <w:rsid w:val="008D65E7"/>
    <w:rsid w:val="008E26C6"/>
    <w:rsid w:val="008E5C5B"/>
    <w:rsid w:val="008F0EF2"/>
    <w:rsid w:val="008F4CBB"/>
    <w:rsid w:val="0090118E"/>
    <w:rsid w:val="009147BD"/>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C1DFD"/>
    <w:rsid w:val="009C6A46"/>
    <w:rsid w:val="009E0C64"/>
    <w:rsid w:val="009E2C03"/>
    <w:rsid w:val="009E4690"/>
    <w:rsid w:val="009E6849"/>
    <w:rsid w:val="009F46D4"/>
    <w:rsid w:val="00A003CE"/>
    <w:rsid w:val="00A0149F"/>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AE45DA"/>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E4595"/>
    <w:rsid w:val="00BF3312"/>
    <w:rsid w:val="00BF3647"/>
    <w:rsid w:val="00BF7004"/>
    <w:rsid w:val="00BF7731"/>
    <w:rsid w:val="00BF7D07"/>
    <w:rsid w:val="00C05003"/>
    <w:rsid w:val="00C1188B"/>
    <w:rsid w:val="00C26026"/>
    <w:rsid w:val="00C32772"/>
    <w:rsid w:val="00C369F6"/>
    <w:rsid w:val="00C43884"/>
    <w:rsid w:val="00C438D0"/>
    <w:rsid w:val="00C456B9"/>
    <w:rsid w:val="00C50A88"/>
    <w:rsid w:val="00C51503"/>
    <w:rsid w:val="00C548B9"/>
    <w:rsid w:val="00C54ED7"/>
    <w:rsid w:val="00C57888"/>
    <w:rsid w:val="00C60A2C"/>
    <w:rsid w:val="00C70137"/>
    <w:rsid w:val="00C75B21"/>
    <w:rsid w:val="00C80D95"/>
    <w:rsid w:val="00C90F33"/>
    <w:rsid w:val="00C9664C"/>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26422"/>
    <w:rsid w:val="00D345B7"/>
    <w:rsid w:val="00D34A7E"/>
    <w:rsid w:val="00D56D5D"/>
    <w:rsid w:val="00D62F6C"/>
    <w:rsid w:val="00D70233"/>
    <w:rsid w:val="00D729A2"/>
    <w:rsid w:val="00D90D17"/>
    <w:rsid w:val="00D91834"/>
    <w:rsid w:val="00D97056"/>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80782"/>
    <w:rsid w:val="00F84F1A"/>
    <w:rsid w:val="00F90E2B"/>
    <w:rsid w:val="00F958A7"/>
    <w:rsid w:val="00FA6056"/>
    <w:rsid w:val="00FB07FA"/>
    <w:rsid w:val="00FB23EF"/>
    <w:rsid w:val="00FB3060"/>
    <w:rsid w:val="00FB3E52"/>
    <w:rsid w:val="00FB78D4"/>
    <w:rsid w:val="00FB7D71"/>
    <w:rsid w:val="00FD2EF7"/>
    <w:rsid w:val="00FD579D"/>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5:docId w15:val="{4140313A-E7D9-4DE5-9115-BCED22D2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4226">
      <w:bodyDiv w:val="1"/>
      <w:marLeft w:val="0"/>
      <w:marRight w:val="0"/>
      <w:marTop w:val="0"/>
      <w:marBottom w:val="0"/>
      <w:divBdr>
        <w:top w:val="none" w:sz="0" w:space="0" w:color="auto"/>
        <w:left w:val="none" w:sz="0" w:space="0" w:color="auto"/>
        <w:bottom w:val="none" w:sz="0" w:space="0" w:color="auto"/>
        <w:right w:val="none" w:sz="0" w:space="0" w:color="auto"/>
      </w:divBdr>
      <w:divsChild>
        <w:div w:id="893586793">
          <w:marLeft w:val="0"/>
          <w:marRight w:val="0"/>
          <w:marTop w:val="0"/>
          <w:marBottom w:val="0"/>
          <w:divBdr>
            <w:top w:val="none" w:sz="0" w:space="0" w:color="auto"/>
            <w:left w:val="none" w:sz="0" w:space="0" w:color="auto"/>
            <w:bottom w:val="none" w:sz="0" w:space="0" w:color="auto"/>
            <w:right w:val="none" w:sz="0" w:space="0" w:color="auto"/>
          </w:divBdr>
          <w:divsChild>
            <w:div w:id="28207959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42907796">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96868381">
      <w:bodyDiv w:val="1"/>
      <w:marLeft w:val="0"/>
      <w:marRight w:val="0"/>
      <w:marTop w:val="0"/>
      <w:marBottom w:val="0"/>
      <w:divBdr>
        <w:top w:val="none" w:sz="0" w:space="0" w:color="auto"/>
        <w:left w:val="none" w:sz="0" w:space="0" w:color="auto"/>
        <w:bottom w:val="none" w:sz="0" w:space="0" w:color="auto"/>
        <w:right w:val="none" w:sz="0" w:space="0" w:color="auto"/>
      </w:divBdr>
      <w:divsChild>
        <w:div w:id="1635017067">
          <w:marLeft w:val="0"/>
          <w:marRight w:val="0"/>
          <w:marTop w:val="0"/>
          <w:marBottom w:val="0"/>
          <w:divBdr>
            <w:top w:val="none" w:sz="0" w:space="0" w:color="auto"/>
            <w:left w:val="none" w:sz="0" w:space="0" w:color="auto"/>
            <w:bottom w:val="none" w:sz="0" w:space="0" w:color="auto"/>
            <w:right w:val="none" w:sz="0" w:space="0" w:color="auto"/>
          </w:divBdr>
          <w:divsChild>
            <w:div w:id="151541565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E683D-F2EB-4945-8EDB-C7116E0C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1252</Words>
  <Characters>6766</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15</cp:revision>
  <cp:lastPrinted>2018-01-22T20:26:00Z</cp:lastPrinted>
  <dcterms:created xsi:type="dcterms:W3CDTF">2018-08-13T13:20:00Z</dcterms:created>
  <dcterms:modified xsi:type="dcterms:W3CDTF">2022-03-30T15:56:00Z</dcterms:modified>
</cp:coreProperties>
</file>