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9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6740"/>
      </w:tblGrid>
      <w:tr w:rsidR="00BB20F9" w:rsidRPr="00BB20F9">
        <w:tblPrEx>
          <w:tblCellMar>
            <w:top w:w="0" w:type="dxa"/>
            <w:bottom w:w="0" w:type="dxa"/>
          </w:tblCellMar>
        </w:tblPrEx>
        <w:trPr>
          <w:trHeight w:hRule="exact" w:val="879"/>
        </w:trPr>
        <w:tc>
          <w:tcPr>
            <w:tcW w:w="165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AB4" w:rsidRPr="00BB20F9" w:rsidRDefault="00EC2205">
            <w:pPr>
              <w:tabs>
                <w:tab w:val="left" w:pos="1418"/>
              </w:tabs>
            </w:pPr>
            <w:r w:rsidRPr="00BB20F9">
              <w:rPr>
                <w:rFonts w:cs="Calibri"/>
              </w:rPr>
              <w:t>ASSUNTO</w:t>
            </w:r>
          </w:p>
        </w:tc>
        <w:tc>
          <w:tcPr>
            <w:tcW w:w="67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AB4" w:rsidRPr="00BB20F9" w:rsidRDefault="00EC2205">
            <w:pPr>
              <w:tabs>
                <w:tab w:val="left" w:pos="1418"/>
              </w:tabs>
              <w:ind w:left="176"/>
              <w:jc w:val="both"/>
              <w:rPr>
                <w:rFonts w:cs="Calibri"/>
              </w:rPr>
            </w:pPr>
            <w:r w:rsidRPr="00BB20F9">
              <w:rPr>
                <w:rFonts w:cs="Calibri"/>
              </w:rPr>
              <w:t>ENCAMINHA NOTA PÚBLICA QUANTO A CONCLUSÕES E RECOMENDAÇÕES SOBRE ENSINO REMOTO EMERGENCIAL E RETOMADA DA PRESENCIALIDADE.</w:t>
            </w:r>
          </w:p>
        </w:tc>
      </w:tr>
      <w:tr w:rsidR="00BB20F9" w:rsidRPr="00BB20F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396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AB4" w:rsidRPr="00BB20F9" w:rsidRDefault="00EC2205">
            <w:pPr>
              <w:tabs>
                <w:tab w:val="left" w:pos="1418"/>
              </w:tabs>
              <w:jc w:val="center"/>
            </w:pPr>
            <w:r w:rsidRPr="00BB20F9">
              <w:rPr>
                <w:rFonts w:cs="Calibri"/>
                <w:b/>
              </w:rPr>
              <w:t>DELIBERAÇÃO Nº 049/2021 – CEF-CAU/RS</w:t>
            </w:r>
          </w:p>
        </w:tc>
      </w:tr>
    </w:tbl>
    <w:p w:rsidR="00331AB4" w:rsidRPr="00BB20F9" w:rsidRDefault="00EC2205">
      <w:pPr>
        <w:tabs>
          <w:tab w:val="left" w:pos="1418"/>
        </w:tabs>
        <w:spacing w:before="240" w:after="80"/>
        <w:ind w:left="142"/>
        <w:jc w:val="both"/>
        <w:rPr>
          <w:rFonts w:cs="Calibri"/>
        </w:rPr>
      </w:pPr>
      <w:r w:rsidRPr="00BB20F9">
        <w:rPr>
          <w:rFonts w:cs="Calibri"/>
        </w:rPr>
        <w:t xml:space="preserve">A COMISSÃO DE </w:t>
      </w:r>
      <w:r w:rsidRPr="00BB20F9">
        <w:rPr>
          <w:rFonts w:cs="Calibri"/>
        </w:rPr>
        <w:t xml:space="preserve">ENSINO E FORMAÇÃO – CEF-CAU/RS, reunida ordinariamente por meio de videoconferência no dia 15 de </w:t>
      </w:r>
      <w:bookmarkStart w:id="0" w:name="_GoBack"/>
      <w:bookmarkEnd w:id="0"/>
      <w:r w:rsidRPr="00BB20F9">
        <w:rPr>
          <w:rFonts w:cs="Calibri"/>
        </w:rPr>
        <w:t>setembro de 2021, no uso das competências que lhe conferem o artigo 2º, inciso III, alínea ‘b’, da Resolução nº 30 do CAU/BR, que dispõe sobre os atos administ</w:t>
      </w:r>
      <w:r w:rsidRPr="00BB20F9">
        <w:rPr>
          <w:rFonts w:cs="Calibri"/>
        </w:rPr>
        <w:t>rativos de caráter decisório, após análise do assunto em epígrafe; e</w:t>
      </w:r>
    </w:p>
    <w:p w:rsidR="00331AB4" w:rsidRPr="00BB20F9" w:rsidRDefault="00EC2205">
      <w:pPr>
        <w:autoSpaceDE w:val="0"/>
        <w:spacing w:before="240" w:after="80"/>
        <w:ind w:left="142"/>
        <w:jc w:val="both"/>
      </w:pPr>
      <w:r w:rsidRPr="00BB20F9">
        <w:rPr>
          <w:rFonts w:cs="Calibri"/>
          <w:spacing w:val="3"/>
          <w:shd w:val="clear" w:color="auto" w:fill="FFFFFF"/>
        </w:rPr>
        <w:t xml:space="preserve">Considerando que o Plano de Trabalho da CEF-CAU/RS para o exercício 2021 (Deliberação Nº 010/2021), em sua META 1, colocou como diretrizes </w:t>
      </w:r>
      <w:r w:rsidRPr="00BB20F9">
        <w:rPr>
          <w:rFonts w:cs="Calibri"/>
          <w:i/>
          <w:spacing w:val="3"/>
          <w:shd w:val="clear" w:color="auto" w:fill="FFFFFF"/>
        </w:rPr>
        <w:t>entender o panorama do ensino ao longo da pandem</w:t>
      </w:r>
      <w:r w:rsidRPr="00BB20F9">
        <w:rPr>
          <w:rFonts w:cs="Calibri"/>
          <w:i/>
          <w:spacing w:val="3"/>
          <w:shd w:val="clear" w:color="auto" w:fill="FFFFFF"/>
        </w:rPr>
        <w:t>ia, bem como as perspectivas para os próximos anos</w:t>
      </w:r>
      <w:r w:rsidRPr="00BB20F9">
        <w:rPr>
          <w:rFonts w:cs="Calibri"/>
          <w:spacing w:val="3"/>
          <w:shd w:val="clear" w:color="auto" w:fill="FFFFFF"/>
        </w:rPr>
        <w:t xml:space="preserve">, bem como, </w:t>
      </w:r>
      <w:r w:rsidRPr="00BB20F9">
        <w:rPr>
          <w:rFonts w:cs="Calibri"/>
          <w:i/>
          <w:spacing w:val="3"/>
          <w:shd w:val="clear" w:color="auto" w:fill="FFFFFF"/>
        </w:rPr>
        <w:t>gerenciar as lacunas/problemáticas geradas pelo assunto e propor sugestões quanto ao que foi aos aspectos positivos deste momento, enquanto método de ensino de Arquitetura.</w:t>
      </w:r>
    </w:p>
    <w:p w:rsidR="00331AB4" w:rsidRPr="00BB20F9" w:rsidRDefault="00EC2205">
      <w:pPr>
        <w:autoSpaceDE w:val="0"/>
        <w:spacing w:before="240" w:after="80"/>
        <w:ind w:left="142"/>
        <w:jc w:val="both"/>
        <w:rPr>
          <w:rFonts w:cs="Calibri"/>
        </w:rPr>
      </w:pPr>
      <w:r w:rsidRPr="00BB20F9">
        <w:rPr>
          <w:rFonts w:cs="Calibri"/>
        </w:rPr>
        <w:t>Considerando que o En</w:t>
      </w:r>
      <w:r w:rsidRPr="00BB20F9">
        <w:rPr>
          <w:rFonts w:cs="Calibri"/>
        </w:rPr>
        <w:t>sino Remoto Emergencial surgiu como uma necessidade de amenizar os entraves do cotidiano provocados pela pandemia de 2019 e serviu para testar novas formas de ensino, mediante o uso das TIC’s nos currículos a que eram cabíveis e adequados, e que, neste ínt</w:t>
      </w:r>
      <w:r w:rsidRPr="00BB20F9">
        <w:rPr>
          <w:rFonts w:cs="Calibri"/>
        </w:rPr>
        <w:t xml:space="preserve">erim, a CEF-CAU/RS reconhecendo o esforço dos professores e dos estudantes para que se mantivessem ativos em suas atividades acadêmicas, preocupou-se em manifestar, orientar e acompanhar este panorama, tendo se manifestado nas Deliberações CEF-CAU/RS nos. </w:t>
      </w:r>
      <w:r w:rsidRPr="00BB20F9">
        <w:rPr>
          <w:rFonts w:cs="Calibri"/>
        </w:rPr>
        <w:t>026/2020 , 030/2020 , 035/2020 , 030/2021 , homologadas pelo Plenário do CAU/RS.</w:t>
      </w:r>
    </w:p>
    <w:p w:rsidR="00331AB4" w:rsidRPr="00BB20F9" w:rsidRDefault="00EC2205">
      <w:pPr>
        <w:autoSpaceDE w:val="0"/>
        <w:spacing w:before="240" w:after="80"/>
        <w:ind w:left="142"/>
        <w:jc w:val="both"/>
      </w:pPr>
      <w:r w:rsidRPr="00BB20F9">
        <w:rPr>
          <w:rFonts w:cs="Calibri"/>
        </w:rPr>
        <w:t xml:space="preserve">Considerando que a Comissão de Ensino e Formação do CAU/BR (CEF-CAU/BR), também encaminhou recomendações às IES, manifestando que o </w:t>
      </w:r>
      <w:r w:rsidRPr="00BB20F9">
        <w:rPr>
          <w:rFonts w:cs="Calibri"/>
          <w:i/>
        </w:rPr>
        <w:t>acompanhamento remoto do ensino é uma ferra</w:t>
      </w:r>
      <w:r w:rsidRPr="00BB20F9">
        <w:rPr>
          <w:rFonts w:cs="Calibri"/>
          <w:i/>
        </w:rPr>
        <w:t>menta disponível para a situação excepcional de crise, devendo ser tratada como emergencial e temporária.</w:t>
      </w:r>
    </w:p>
    <w:p w:rsidR="00331AB4" w:rsidRPr="00BB20F9" w:rsidRDefault="00EC2205">
      <w:pPr>
        <w:tabs>
          <w:tab w:val="left" w:pos="1418"/>
        </w:tabs>
        <w:spacing w:before="240" w:after="80"/>
        <w:ind w:left="142"/>
        <w:jc w:val="both"/>
        <w:rPr>
          <w:rFonts w:cs="Calibri"/>
        </w:rPr>
      </w:pPr>
      <w:r w:rsidRPr="00BB20F9">
        <w:rPr>
          <w:rFonts w:cs="Calibri"/>
        </w:rPr>
        <w:t>No intuito de cumprir com sua finalidade regimental de zelar pelo aperfeiçoamento da formação profissional e apreciar a oferta e a qualidade dos curso</w:t>
      </w:r>
      <w:r w:rsidRPr="00BB20F9">
        <w:rPr>
          <w:rFonts w:cs="Calibri"/>
        </w:rPr>
        <w:t>s de graduação;</w:t>
      </w:r>
    </w:p>
    <w:p w:rsidR="00331AB4" w:rsidRPr="00BB20F9" w:rsidRDefault="00EC2205">
      <w:pPr>
        <w:tabs>
          <w:tab w:val="left" w:pos="1418"/>
        </w:tabs>
        <w:spacing w:before="240"/>
        <w:ind w:left="142"/>
        <w:jc w:val="both"/>
        <w:rPr>
          <w:rFonts w:cs="Calibri"/>
          <w:b/>
        </w:rPr>
      </w:pPr>
      <w:r w:rsidRPr="00BB20F9">
        <w:rPr>
          <w:rFonts w:cs="Calibri"/>
          <w:b/>
        </w:rPr>
        <w:t xml:space="preserve">DELIBERA: </w:t>
      </w:r>
    </w:p>
    <w:p w:rsidR="00331AB4" w:rsidRPr="00BB20F9" w:rsidRDefault="00EC2205">
      <w:pPr>
        <w:pStyle w:val="PargrafodaLista"/>
        <w:numPr>
          <w:ilvl w:val="0"/>
          <w:numId w:val="1"/>
        </w:numPr>
        <w:autoSpaceDE w:val="0"/>
        <w:spacing w:before="240" w:line="240" w:lineRule="auto"/>
        <w:jc w:val="both"/>
      </w:pPr>
      <w:r w:rsidRPr="00BB20F9">
        <w:rPr>
          <w:rFonts w:cs="Calibri"/>
        </w:rPr>
        <w:t xml:space="preserve">Por aprovar Nota Pública de entendimento da CEF-CAU/RS sobre </w:t>
      </w:r>
      <w:r w:rsidRPr="00BB20F9">
        <w:rPr>
          <w:rFonts w:cs="Calibri"/>
          <w:i/>
        </w:rPr>
        <w:t>O Ensino Remoto Emergencial e a retomada da interatividade presencial no Ensino e Formação em Arquitetura e Urbanismo</w:t>
      </w:r>
      <w:r w:rsidRPr="00BB20F9">
        <w:rPr>
          <w:rFonts w:cs="Calibri"/>
        </w:rPr>
        <w:t xml:space="preserve"> (ANEXO I);</w:t>
      </w:r>
    </w:p>
    <w:p w:rsidR="00331AB4" w:rsidRPr="00BB20F9" w:rsidRDefault="00EC2205">
      <w:pPr>
        <w:pStyle w:val="PargrafodaLista"/>
        <w:numPr>
          <w:ilvl w:val="0"/>
          <w:numId w:val="1"/>
        </w:numPr>
        <w:autoSpaceDE w:val="0"/>
        <w:spacing w:before="240" w:after="0" w:line="240" w:lineRule="auto"/>
        <w:jc w:val="both"/>
        <w:rPr>
          <w:rFonts w:cs="Calibri"/>
        </w:rPr>
      </w:pPr>
      <w:r w:rsidRPr="00BB20F9">
        <w:rPr>
          <w:rFonts w:cs="Calibri"/>
        </w:rPr>
        <w:t>Por encaminhar a presente Deliberação à</w:t>
      </w:r>
      <w:r w:rsidRPr="00BB20F9">
        <w:rPr>
          <w:rFonts w:cs="Calibri"/>
        </w:rPr>
        <w:t xml:space="preserve"> Presidência do CAU/RS para, nos termos do art. 116, do Regimento Interno do CAU/RS, submetê-la ao Plenário deste Conselho para conhecimento;</w:t>
      </w:r>
    </w:p>
    <w:p w:rsidR="00331AB4" w:rsidRPr="00BB20F9" w:rsidRDefault="00EC2205">
      <w:pPr>
        <w:pStyle w:val="PargrafodaLista"/>
        <w:numPr>
          <w:ilvl w:val="0"/>
          <w:numId w:val="1"/>
        </w:numPr>
        <w:autoSpaceDE w:val="0"/>
        <w:spacing w:before="240" w:after="0" w:line="240" w:lineRule="auto"/>
        <w:jc w:val="both"/>
        <w:rPr>
          <w:rFonts w:cs="Calibri"/>
        </w:rPr>
      </w:pPr>
      <w:r w:rsidRPr="00BB20F9">
        <w:rPr>
          <w:rFonts w:cs="Calibri"/>
        </w:rPr>
        <w:t>Por solicitar à Presidência que promova através da Gerência de Comunicação a publicação desta Nota Pública nas míd</w:t>
      </w:r>
      <w:r w:rsidRPr="00BB20F9">
        <w:rPr>
          <w:rFonts w:cs="Calibri"/>
        </w:rPr>
        <w:t>ias do CAU/RS;</w:t>
      </w:r>
    </w:p>
    <w:p w:rsidR="00331AB4" w:rsidRPr="00BB20F9" w:rsidRDefault="00EC2205">
      <w:pPr>
        <w:pStyle w:val="PargrafodaLista"/>
        <w:numPr>
          <w:ilvl w:val="0"/>
          <w:numId w:val="1"/>
        </w:numPr>
        <w:autoSpaceDE w:val="0"/>
        <w:spacing w:before="240" w:after="0" w:line="240" w:lineRule="auto"/>
        <w:jc w:val="both"/>
        <w:rPr>
          <w:rFonts w:cs="Calibri"/>
        </w:rPr>
      </w:pPr>
      <w:r w:rsidRPr="00BB20F9">
        <w:rPr>
          <w:rFonts w:cs="Calibri"/>
        </w:rPr>
        <w:lastRenderedPageBreak/>
        <w:t xml:space="preserve">Por solicitar à Presidência que promova através de seu Gabinete o envio deste documento às Instituições de Ensino Superior do estado; </w:t>
      </w:r>
    </w:p>
    <w:p w:rsidR="00331AB4" w:rsidRPr="00BB20F9" w:rsidRDefault="00331AB4">
      <w:pPr>
        <w:pStyle w:val="PargrafodaLista"/>
        <w:autoSpaceDE w:val="0"/>
        <w:spacing w:after="0" w:line="240" w:lineRule="auto"/>
        <w:ind w:left="502"/>
        <w:jc w:val="both"/>
        <w:rPr>
          <w:rFonts w:cs="Calibri"/>
        </w:rPr>
      </w:pPr>
    </w:p>
    <w:p w:rsidR="00331AB4" w:rsidRPr="00BB20F9" w:rsidRDefault="00EC2205">
      <w:pPr>
        <w:tabs>
          <w:tab w:val="left" w:pos="1418"/>
        </w:tabs>
        <w:spacing w:after="0"/>
        <w:jc w:val="center"/>
        <w:rPr>
          <w:rFonts w:cs="Calibri"/>
        </w:rPr>
      </w:pPr>
      <w:r w:rsidRPr="00BB20F9">
        <w:rPr>
          <w:rFonts w:cs="Calibri"/>
        </w:rPr>
        <w:t>Porto Alegre – RS, 17 de novembro de 2021.</w:t>
      </w:r>
    </w:p>
    <w:p w:rsidR="00331AB4" w:rsidRPr="00BB20F9" w:rsidRDefault="00331AB4">
      <w:pPr>
        <w:tabs>
          <w:tab w:val="left" w:pos="1418"/>
        </w:tabs>
        <w:spacing w:after="0"/>
        <w:jc w:val="center"/>
        <w:rPr>
          <w:rFonts w:cs="Calibri"/>
        </w:rPr>
      </w:pPr>
    </w:p>
    <w:p w:rsidR="00331AB4" w:rsidRPr="00BB20F9" w:rsidRDefault="00331AB4">
      <w:pPr>
        <w:tabs>
          <w:tab w:val="left" w:pos="1418"/>
        </w:tabs>
        <w:spacing w:after="0"/>
        <w:jc w:val="center"/>
        <w:rPr>
          <w:rFonts w:cs="Calibri"/>
        </w:rPr>
      </w:pPr>
    </w:p>
    <w:p w:rsidR="00331AB4" w:rsidRPr="00BB20F9" w:rsidRDefault="00EC2205">
      <w:pPr>
        <w:tabs>
          <w:tab w:val="left" w:pos="1418"/>
        </w:tabs>
        <w:spacing w:after="0"/>
        <w:jc w:val="both"/>
      </w:pPr>
      <w:r w:rsidRPr="00BB20F9">
        <w:rPr>
          <w:rFonts w:eastAsia="Times New Roman" w:cs="Calibri"/>
        </w:rPr>
        <w:t>Acompanhado dos votos dos conselheiros,</w:t>
      </w:r>
      <w:r w:rsidRPr="00BB20F9">
        <w:rPr>
          <w:rFonts w:eastAsia="Times New Roman" w:cs="Calibri"/>
          <w:b/>
        </w:rPr>
        <w:t xml:space="preserve"> </w:t>
      </w:r>
      <w:r w:rsidRPr="00BB20F9">
        <w:rPr>
          <w:rFonts w:eastAsia="Times New Roman" w:cs="Calibri"/>
          <w:b/>
          <w:shd w:val="clear" w:color="auto" w:fill="FFFFFF"/>
        </w:rPr>
        <w:t xml:space="preserve">Rinaldo Ferreira </w:t>
      </w:r>
      <w:r w:rsidRPr="00BB20F9">
        <w:rPr>
          <w:rFonts w:eastAsia="Times New Roman" w:cs="Calibri"/>
          <w:b/>
          <w:shd w:val="clear" w:color="auto" w:fill="FFFFFF"/>
        </w:rPr>
        <w:t>Barbosa e Roberta Krahe Edelweis</w:t>
      </w:r>
      <w:r w:rsidRPr="00BB20F9">
        <w:rPr>
          <w:rFonts w:eastAsia="Times New Roman" w:cs="Calibri"/>
          <w:b/>
        </w:rPr>
        <w:t>s</w:t>
      </w:r>
      <w:r w:rsidRPr="00BB20F9">
        <w:rPr>
          <w:rFonts w:eastAsia="Times New Roman" w:cs="Calibri"/>
        </w:rPr>
        <w:t xml:space="preserve">, </w:t>
      </w:r>
      <w:r w:rsidR="00BB20F9" w:rsidRPr="00BB20F9">
        <w:rPr>
          <w:rFonts w:eastAsia="Times New Roman" w:cs="Calibri"/>
        </w:rPr>
        <w:t xml:space="preserve">verificada ausência do conselheiro Rodrigo Spinelli, </w:t>
      </w:r>
      <w:r w:rsidRPr="00BB20F9">
        <w:rPr>
          <w:rFonts w:eastAsia="Times New Roman" w:cs="Calibri"/>
        </w:rPr>
        <w:t>atesto a veracidade das informações aqui apresentadas.</w:t>
      </w:r>
    </w:p>
    <w:p w:rsidR="00331AB4" w:rsidRPr="00BB20F9" w:rsidRDefault="00331AB4">
      <w:pPr>
        <w:tabs>
          <w:tab w:val="left" w:pos="3532"/>
        </w:tabs>
        <w:spacing w:after="0"/>
        <w:jc w:val="center"/>
        <w:rPr>
          <w:rFonts w:eastAsia="Times New Roman" w:cs="Calibri"/>
          <w:b/>
        </w:rPr>
      </w:pPr>
    </w:p>
    <w:p w:rsidR="00331AB4" w:rsidRPr="00BB20F9" w:rsidRDefault="00331AB4">
      <w:pPr>
        <w:tabs>
          <w:tab w:val="left" w:pos="3532"/>
        </w:tabs>
        <w:spacing w:after="0"/>
        <w:jc w:val="center"/>
        <w:rPr>
          <w:rFonts w:eastAsia="Times New Roman" w:cs="Calibri"/>
          <w:b/>
        </w:rPr>
      </w:pPr>
    </w:p>
    <w:p w:rsidR="00BB20F9" w:rsidRPr="00BB20F9" w:rsidRDefault="00BB20F9">
      <w:pPr>
        <w:tabs>
          <w:tab w:val="left" w:pos="3532"/>
        </w:tabs>
        <w:spacing w:after="0"/>
        <w:jc w:val="center"/>
        <w:rPr>
          <w:rFonts w:eastAsia="Times New Roman" w:cs="Calibri"/>
          <w:b/>
        </w:rPr>
      </w:pPr>
    </w:p>
    <w:p w:rsidR="00331AB4" w:rsidRPr="00BB20F9" w:rsidRDefault="00EC2205">
      <w:pPr>
        <w:tabs>
          <w:tab w:val="left" w:pos="3532"/>
        </w:tabs>
        <w:spacing w:after="0" w:line="240" w:lineRule="auto"/>
        <w:jc w:val="center"/>
        <w:rPr>
          <w:rFonts w:eastAsia="Times New Roman" w:cs="Calibri"/>
          <w:b/>
        </w:rPr>
      </w:pPr>
      <w:r w:rsidRPr="00BB20F9">
        <w:rPr>
          <w:rFonts w:eastAsia="Times New Roman" w:cs="Calibri"/>
          <w:b/>
        </w:rPr>
        <w:t xml:space="preserve">Fábio Müller </w:t>
      </w:r>
    </w:p>
    <w:p w:rsidR="00331AB4" w:rsidRPr="00BB20F9" w:rsidRDefault="00EC2205">
      <w:pPr>
        <w:tabs>
          <w:tab w:val="left" w:pos="3532"/>
        </w:tabs>
        <w:spacing w:after="0" w:line="240" w:lineRule="auto"/>
        <w:jc w:val="center"/>
        <w:rPr>
          <w:rFonts w:eastAsia="Times New Roman" w:cs="Calibri"/>
        </w:rPr>
      </w:pPr>
      <w:r w:rsidRPr="00BB20F9">
        <w:rPr>
          <w:rFonts w:eastAsia="Times New Roman" w:cs="Calibri"/>
        </w:rPr>
        <w:t>Coordenador Adjunto - CEF-CAU/RS</w:t>
      </w:r>
    </w:p>
    <w:p w:rsidR="00331AB4" w:rsidRPr="00BB20F9" w:rsidRDefault="00331AB4">
      <w:pPr>
        <w:tabs>
          <w:tab w:val="left" w:pos="3532"/>
        </w:tabs>
        <w:spacing w:after="0"/>
        <w:jc w:val="center"/>
        <w:rPr>
          <w:rFonts w:eastAsia="Times New Roman" w:cs="Calibri"/>
        </w:rPr>
      </w:pPr>
    </w:p>
    <w:p w:rsidR="00331AB4" w:rsidRPr="00BB20F9" w:rsidRDefault="00331AB4">
      <w:pPr>
        <w:pageBreakBefore/>
        <w:rPr>
          <w:rFonts w:eastAsia="Times New Roman" w:cs="Calibri"/>
        </w:rPr>
      </w:pPr>
    </w:p>
    <w:p w:rsidR="00331AB4" w:rsidRPr="00BB20F9" w:rsidRDefault="00EC2205">
      <w:pPr>
        <w:tabs>
          <w:tab w:val="left" w:pos="3532"/>
        </w:tabs>
        <w:jc w:val="center"/>
        <w:rPr>
          <w:b/>
        </w:rPr>
      </w:pPr>
      <w:r w:rsidRPr="00BB20F9">
        <w:rPr>
          <w:b/>
        </w:rPr>
        <w:t>ANEXO I</w:t>
      </w:r>
    </w:p>
    <w:p w:rsidR="00331AB4" w:rsidRPr="00BB20F9" w:rsidRDefault="00EC2205">
      <w:pPr>
        <w:jc w:val="center"/>
        <w:rPr>
          <w:b/>
          <w:sz w:val="40"/>
          <w:szCs w:val="40"/>
        </w:rPr>
      </w:pPr>
      <w:r w:rsidRPr="00BB20F9">
        <w:rPr>
          <w:b/>
          <w:sz w:val="40"/>
          <w:szCs w:val="40"/>
        </w:rPr>
        <w:t>O ENSINO REMOTO EMERGENCIAL</w:t>
      </w:r>
    </w:p>
    <w:p w:rsidR="00331AB4" w:rsidRPr="00BB20F9" w:rsidRDefault="00EC2205">
      <w:pPr>
        <w:jc w:val="center"/>
        <w:rPr>
          <w:sz w:val="32"/>
          <w:szCs w:val="32"/>
        </w:rPr>
      </w:pPr>
      <w:r w:rsidRPr="00BB20F9">
        <w:rPr>
          <w:sz w:val="32"/>
          <w:szCs w:val="32"/>
        </w:rPr>
        <w:t>E a retomada da interatividade presencial no Ensino e Formação em Arquitetura e</w:t>
      </w:r>
      <w:r w:rsidRPr="00BB20F9">
        <w:rPr>
          <w:sz w:val="32"/>
          <w:szCs w:val="32"/>
        </w:rPr>
        <w:t xml:space="preserve"> Urbanismo</w:t>
      </w:r>
    </w:p>
    <w:p w:rsidR="00331AB4" w:rsidRPr="00BB20F9" w:rsidRDefault="00EC2205">
      <w:pPr>
        <w:jc w:val="center"/>
        <w:rPr>
          <w:sz w:val="32"/>
          <w:szCs w:val="32"/>
        </w:rPr>
      </w:pPr>
      <w:r w:rsidRPr="00BB20F9">
        <w:rPr>
          <w:sz w:val="32"/>
          <w:szCs w:val="32"/>
        </w:rPr>
        <w:t>NOTA PÚBLICA DA CEF CAU/RS</w:t>
      </w:r>
    </w:p>
    <w:p w:rsidR="00331AB4" w:rsidRPr="00BB20F9" w:rsidRDefault="00EC2205">
      <w:pPr>
        <w:jc w:val="center"/>
        <w:rPr>
          <w:i/>
          <w:sz w:val="24"/>
          <w:szCs w:val="24"/>
        </w:rPr>
      </w:pPr>
      <w:r w:rsidRPr="00BB20F9">
        <w:rPr>
          <w:i/>
          <w:sz w:val="24"/>
          <w:szCs w:val="24"/>
        </w:rPr>
        <w:t>Novembro de 2021</w:t>
      </w:r>
    </w:p>
    <w:p w:rsidR="00331AB4" w:rsidRPr="00BB20F9" w:rsidRDefault="00331AB4">
      <w:pPr>
        <w:rPr>
          <w:sz w:val="24"/>
          <w:szCs w:val="24"/>
        </w:rPr>
      </w:pPr>
    </w:p>
    <w:p w:rsidR="00331AB4" w:rsidRPr="00BB20F9" w:rsidRDefault="00331AB4">
      <w:pPr>
        <w:rPr>
          <w:sz w:val="24"/>
          <w:szCs w:val="24"/>
        </w:rPr>
      </w:pPr>
    </w:p>
    <w:p w:rsidR="00331AB4" w:rsidRPr="00BB20F9" w:rsidRDefault="00EC2205">
      <w:pPr>
        <w:rPr>
          <w:b/>
          <w:sz w:val="24"/>
          <w:szCs w:val="24"/>
        </w:rPr>
      </w:pPr>
      <w:r w:rsidRPr="00BB20F9">
        <w:rPr>
          <w:b/>
          <w:sz w:val="24"/>
          <w:szCs w:val="24"/>
        </w:rPr>
        <w:t>Prelúdio, à guisa de Introdução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  <w:rPr>
          <w:sz w:val="24"/>
          <w:szCs w:val="24"/>
        </w:rPr>
      </w:pPr>
      <w:r w:rsidRPr="00BB20F9">
        <w:rPr>
          <w:sz w:val="24"/>
          <w:szCs w:val="24"/>
        </w:rPr>
        <w:t xml:space="preserve">O ensino e formação em Arquitetura e Urbanismo no Rio Grande do Sul já apresentava cenário complexo, anteriormente, à pandemia mundial da COVID-19, com interferências </w:t>
      </w:r>
      <w:r w:rsidRPr="00BB20F9">
        <w:rPr>
          <w:sz w:val="24"/>
          <w:szCs w:val="24"/>
        </w:rPr>
        <w:t>conjunturais que o desafiavam, significativamente, à revisão de consistência, tais como o expressivo crescimento de número de cursos no estado, a abusiva abertura de vagas à modalidade EAD, a minimização da carga horária nos currículos, o distanciamento de</w:t>
      </w:r>
      <w:r w:rsidRPr="00BB20F9">
        <w:rPr>
          <w:sz w:val="24"/>
          <w:szCs w:val="24"/>
        </w:rPr>
        <w:t xml:space="preserve"> mestres e aprendizes da realidade socioespacial, a relativização da verve prática da profissão e a precarização das relações trabalhistas de docência, muitas dessas ocorrências oriundas da acirrada disputa de espaço mercantil na Educação Superior, com más</w:t>
      </w:r>
      <w:r w:rsidRPr="00BB20F9">
        <w:rPr>
          <w:sz w:val="24"/>
          <w:szCs w:val="24"/>
        </w:rPr>
        <w:t xml:space="preserve"> consequências sentidas, nos últimos tempos, à nacionalmente reconhecida qualidade de ensino e formação de arquitetas e arquitetos e urbanistas gaúchos.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  <w:rPr>
          <w:sz w:val="24"/>
          <w:szCs w:val="24"/>
        </w:rPr>
      </w:pPr>
      <w:r w:rsidRPr="00BB20F9">
        <w:rPr>
          <w:sz w:val="24"/>
          <w:szCs w:val="24"/>
        </w:rPr>
        <w:t xml:space="preserve">No contexto pandêmico, todavia, o cenário agravou-se, apresentando o desafio de continuidade do ensino </w:t>
      </w:r>
      <w:r w:rsidRPr="00BB20F9">
        <w:rPr>
          <w:sz w:val="24"/>
          <w:szCs w:val="24"/>
        </w:rPr>
        <w:t>e formação de arquitetas e arquitetos e urbanistas com preservação de sanidade física e mental, o que impôs adaptação docente e discente a práticas pedagógicas experimentais amparadas no protagonismo da virtualidade, com seus inerentes desgastes e insegura</w:t>
      </w:r>
      <w:r w:rsidRPr="00BB20F9">
        <w:rPr>
          <w:sz w:val="24"/>
          <w:szCs w:val="24"/>
        </w:rPr>
        <w:t>nças sobre a qualidade do ensino-aprendizagem, paralelamente, à (re)construção das rotinas pessoais e familiares, à crise social, política e econômica e à sensível perda de vidas de familiares, amigos e conhecidos, entre outros mais de seiscentos mil brasi</w:t>
      </w:r>
      <w:r w:rsidRPr="00BB20F9">
        <w:rPr>
          <w:sz w:val="24"/>
          <w:szCs w:val="24"/>
        </w:rPr>
        <w:t>leiros até o momento.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  <w:rPr>
          <w:sz w:val="24"/>
          <w:szCs w:val="24"/>
        </w:rPr>
      </w:pPr>
      <w:r w:rsidRPr="00BB20F9">
        <w:rPr>
          <w:sz w:val="24"/>
          <w:szCs w:val="24"/>
        </w:rPr>
        <w:t xml:space="preserve">Nesse paradigma complexo dantes não vivido, contudo, fortaleza, solidariedade, surpreendentes interações e renovadas disposições diárias foram – e ainda vem sendo </w:t>
      </w:r>
      <w:r w:rsidRPr="00BB20F9">
        <w:rPr>
          <w:sz w:val="24"/>
          <w:szCs w:val="24"/>
        </w:rPr>
        <w:lastRenderedPageBreak/>
        <w:t>–, experimentadas, assim como, também, estratégias pedagógicas, metodol</w:t>
      </w:r>
      <w:r w:rsidRPr="00BB20F9">
        <w:rPr>
          <w:sz w:val="24"/>
          <w:szCs w:val="24"/>
        </w:rPr>
        <w:t>ogias, sistemas, programas e incrementos operacionais para o ensino e aprendizagem (re)descobertos, otimizando fluxos e processos e facultando alguma ordem e esperança em meio ao delicado cenário vivenciado.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t>Em um momento de iminência do cessamento dessa c</w:t>
      </w:r>
      <w:r w:rsidRPr="00BB20F9">
        <w:rPr>
          <w:sz w:val="24"/>
          <w:szCs w:val="24"/>
        </w:rPr>
        <w:t>onjuntura trágica pela resposta científica em vacinas e aprimoramento dos tratamentos, em um período onde as médias de contaminação e mortes reduzem-se, sensivelmente, na esfera mundial e nacional e, assim, as vidas e rotinas tendem à estabilização, reestr</w:t>
      </w:r>
      <w:r w:rsidRPr="00BB20F9">
        <w:rPr>
          <w:sz w:val="24"/>
          <w:szCs w:val="24"/>
        </w:rPr>
        <w:t>uturando-se, é que</w:t>
      </w:r>
      <w:r w:rsidRPr="00BB20F9">
        <w:rPr>
          <w:sz w:val="24"/>
          <w:szCs w:val="24"/>
        </w:rPr>
        <w:t xml:space="preserve"> </w:t>
      </w:r>
      <w:r w:rsidRPr="00BB20F9">
        <w:rPr>
          <w:sz w:val="24"/>
          <w:szCs w:val="24"/>
        </w:rPr>
        <w:t>cabe referendarmos os rumos para o ensino e formação em Arquitetura e Urbanismo no Rio Grande do Sul, o que faz a CEF CAU/RS no esforço dessa nota, usando de suas prerrogativas de z</w:t>
      </w:r>
      <w:r w:rsidRPr="00BB20F9">
        <w:rPr>
          <w:sz w:val="24"/>
          <w:szCs w:val="24"/>
        </w:rPr>
        <w:t xml:space="preserve">elar pelo aperfeiçoamento da formação profissional e </w:t>
      </w:r>
      <w:r w:rsidRPr="00BB20F9">
        <w:rPr>
          <w:sz w:val="24"/>
          <w:szCs w:val="24"/>
        </w:rPr>
        <w:t>apreciar a oferta e a qualidade dos cursos de graduação e utilizando-se d</w:t>
      </w:r>
      <w:r w:rsidRPr="00BB20F9">
        <w:rPr>
          <w:sz w:val="24"/>
          <w:szCs w:val="24"/>
        </w:rPr>
        <w:t>o apontamento das experiências de docentes e de coordenadores de curso, emitidas nos questionários aplicados por essa Comissão em setembro de 2020 e maio de 2021, com resultados ampla</w:t>
      </w:r>
      <w:r w:rsidRPr="00BB20F9">
        <w:rPr>
          <w:sz w:val="24"/>
          <w:szCs w:val="24"/>
        </w:rPr>
        <w:t xml:space="preserve">mente divulgados e disponíveis para consulta através de suas Deliberações nos. </w:t>
      </w:r>
      <w:r w:rsidRPr="00BB20F9">
        <w:rPr>
          <w:rFonts w:cs="Calibri"/>
        </w:rPr>
        <w:t>035/2020</w:t>
      </w:r>
      <w:r w:rsidRPr="00BB20F9">
        <w:rPr>
          <w:rStyle w:val="Refdenotaderodap"/>
          <w:rFonts w:cs="Calibri"/>
        </w:rPr>
        <w:footnoteReference w:id="1"/>
      </w:r>
      <w:r w:rsidRPr="00BB20F9">
        <w:rPr>
          <w:rFonts w:cs="Calibri"/>
        </w:rPr>
        <w:t>, 030/2021</w:t>
      </w:r>
      <w:r w:rsidRPr="00BB20F9">
        <w:rPr>
          <w:rStyle w:val="Refdenotaderodap"/>
          <w:rFonts w:cs="Calibri"/>
        </w:rPr>
        <w:footnoteReference w:id="2"/>
      </w:r>
      <w:r w:rsidRPr="00BB20F9">
        <w:rPr>
          <w:rFonts w:cs="Calibri"/>
        </w:rPr>
        <w:t>.</w:t>
      </w:r>
      <w:r w:rsidRPr="00BB20F9">
        <w:rPr>
          <w:rStyle w:val="Refdenotaderodap"/>
        </w:rPr>
        <w:t xml:space="preserve"> </w:t>
      </w:r>
      <w:r w:rsidRPr="00BB20F9">
        <w:rPr>
          <w:rStyle w:val="Refdenotaderodap"/>
          <w:rFonts w:cs="Calibri"/>
        </w:rPr>
        <w:t xml:space="preserve"> 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  <w:rPr>
          <w:b/>
          <w:sz w:val="24"/>
          <w:szCs w:val="24"/>
        </w:rPr>
      </w:pPr>
      <w:r w:rsidRPr="00BB20F9">
        <w:rPr>
          <w:b/>
          <w:sz w:val="24"/>
          <w:szCs w:val="24"/>
        </w:rPr>
        <w:t>Da experiência do Ensino Remoto Emergencial: fragilidad</w:t>
      </w:r>
      <w:r w:rsidRPr="00BB20F9">
        <w:rPr>
          <w:b/>
          <w:sz w:val="24"/>
          <w:szCs w:val="24"/>
        </w:rPr>
        <w:t>es e potencialidades ao presencial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t>Nesses, aproximadamente, um ano e meio de experiência na educação supe</w:t>
      </w:r>
      <w:r w:rsidRPr="00BB20F9">
        <w:rPr>
          <w:b/>
          <w:sz w:val="24"/>
          <w:szCs w:val="24"/>
        </w:rPr>
        <w:t>r</w:t>
      </w:r>
      <w:r w:rsidRPr="00BB20F9">
        <w:rPr>
          <w:sz w:val="24"/>
          <w:szCs w:val="24"/>
        </w:rPr>
        <w:t>ior brasileira, em seus diferentes momentos, intensidades e realidades institucionais físico-espaciais, culturais e sociais, no âmbito de IES públicas</w:t>
      </w:r>
      <w:r w:rsidRPr="00BB20F9">
        <w:rPr>
          <w:sz w:val="24"/>
          <w:szCs w:val="24"/>
        </w:rPr>
        <w:t>, comunitárias, filantrópicas ou privadas, restou claro que o Ensino Remoto Emergencial, baseado na interatividade virtual, não é mais que um mecanismo especial usado para minimizar os impactos e perdas inerentes ao ensino e formação profissional em situaç</w:t>
      </w:r>
      <w:r w:rsidRPr="00BB20F9">
        <w:rPr>
          <w:sz w:val="24"/>
          <w:szCs w:val="24"/>
        </w:rPr>
        <w:t xml:space="preserve">ões críticas </w:t>
      </w:r>
      <w:r w:rsidRPr="00BB20F9">
        <w:rPr>
          <w:b/>
          <w:sz w:val="24"/>
          <w:szCs w:val="24"/>
        </w:rPr>
        <w:t>excepcionais</w:t>
      </w:r>
      <w:r w:rsidRPr="00BB20F9">
        <w:rPr>
          <w:rStyle w:val="Refdenotaderodap"/>
          <w:rFonts w:eastAsia="Cambria" w:cs="Calibri"/>
          <w:sz w:val="20"/>
          <w:szCs w:val="20"/>
        </w:rPr>
        <w:footnoteReference w:id="3"/>
      </w:r>
      <w:r w:rsidRPr="00BB20F9">
        <w:rPr>
          <w:sz w:val="24"/>
          <w:szCs w:val="24"/>
        </w:rPr>
        <w:t>.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lastRenderedPageBreak/>
        <w:t>No caso específico da formação de profissionais arquitetas e arquitetos e urbanistas demonstrou-se insuficiente, aquém das exigências de uma formação generalista consistente, em teoria e prática, histori</w:t>
      </w:r>
      <w:r w:rsidRPr="00BB20F9">
        <w:rPr>
          <w:sz w:val="24"/>
          <w:szCs w:val="24"/>
        </w:rPr>
        <w:t>camente construída a partir de</w:t>
      </w:r>
      <w:r w:rsidRPr="00BB20F9">
        <w:rPr>
          <w:sz w:val="24"/>
          <w:szCs w:val="24"/>
        </w:rPr>
        <w:t xml:space="preserve"> </w:t>
      </w:r>
      <w:r w:rsidRPr="00BB20F9">
        <w:rPr>
          <w:sz w:val="24"/>
          <w:szCs w:val="24"/>
        </w:rPr>
        <w:t xml:space="preserve">apresentações dialogadas, ateliês de criação, laboratórios, levantamentos exploratórios, visitas </w:t>
      </w:r>
      <w:r w:rsidRPr="00BB20F9">
        <w:rPr>
          <w:i/>
          <w:sz w:val="24"/>
          <w:szCs w:val="24"/>
        </w:rPr>
        <w:t>in loco</w:t>
      </w:r>
      <w:r w:rsidRPr="00BB20F9">
        <w:rPr>
          <w:sz w:val="24"/>
          <w:szCs w:val="24"/>
        </w:rPr>
        <w:t>, viagens de estudo, movimentos de pesquisa e atividades de extensão, assim como exigem as Diretrizes Curriculares Nacion</w:t>
      </w:r>
      <w:r w:rsidRPr="00BB20F9">
        <w:rPr>
          <w:sz w:val="24"/>
          <w:szCs w:val="24"/>
        </w:rPr>
        <w:t>ais em Arquitetura e Urbanismo.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  <w:rPr>
          <w:sz w:val="24"/>
          <w:szCs w:val="24"/>
        </w:rPr>
      </w:pPr>
      <w:r w:rsidRPr="00BB20F9">
        <w:rPr>
          <w:sz w:val="24"/>
          <w:szCs w:val="24"/>
        </w:rPr>
        <w:t>Recomenda-se para tão logo quanto possível, um retorno planejado gradativo ao ambiente universitário, com segurança sanitária, tanto para atividades práticas como teóricas, para ensino e formação de interatividade presencial</w:t>
      </w:r>
      <w:r w:rsidRPr="00BB20F9">
        <w:rPr>
          <w:sz w:val="24"/>
          <w:szCs w:val="24"/>
        </w:rPr>
        <w:t xml:space="preserve"> dada a vivacidade, espontaneidade e reciprocidade inquestionavelmente insuperáveis – necessárias e insubstituíveis – se comparadas com o oportunizado quando a interface dominante é a virtual. 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t>Através das pesquisas realizadas identificou-se, nesse período</w:t>
      </w:r>
      <w:r w:rsidRPr="00BB20F9">
        <w:rPr>
          <w:sz w:val="24"/>
          <w:szCs w:val="24"/>
        </w:rPr>
        <w:t>: 1.</w:t>
      </w:r>
      <w:r w:rsidRPr="00BB20F9">
        <w:rPr>
          <w:sz w:val="24"/>
          <w:szCs w:val="24"/>
        </w:rPr>
        <w:t xml:space="preserve"> </w:t>
      </w:r>
      <w:r w:rsidRPr="00BB20F9">
        <w:rPr>
          <w:sz w:val="24"/>
          <w:szCs w:val="24"/>
        </w:rPr>
        <w:t>Ter havido extrapolação do número de alunos em classes teóricas e práticas; 2. Excesso de matrícula em disciplinas em um mesmo semestre; 3. Flexibilização da frequência gerando dificuldades de efetivo controle da presença</w:t>
      </w:r>
      <w:r w:rsidRPr="00BB20F9">
        <w:rPr>
          <w:sz w:val="24"/>
          <w:szCs w:val="24"/>
        </w:rPr>
        <w:t xml:space="preserve">, </w:t>
      </w:r>
      <w:r w:rsidRPr="00BB20F9">
        <w:rPr>
          <w:sz w:val="24"/>
          <w:szCs w:val="24"/>
        </w:rPr>
        <w:t xml:space="preserve">da participação nas aulas e </w:t>
      </w:r>
      <w:r w:rsidRPr="00BB20F9">
        <w:rPr>
          <w:sz w:val="24"/>
          <w:szCs w:val="24"/>
        </w:rPr>
        <w:t>nas atividades propostas; 4.</w:t>
      </w:r>
      <w:r w:rsidRPr="00BB20F9">
        <w:rPr>
          <w:sz w:val="24"/>
          <w:szCs w:val="24"/>
        </w:rPr>
        <w:t xml:space="preserve"> </w:t>
      </w:r>
      <w:r w:rsidRPr="00BB20F9">
        <w:rPr>
          <w:sz w:val="24"/>
          <w:szCs w:val="24"/>
        </w:rPr>
        <w:t>Problemas na execução</w:t>
      </w:r>
      <w:r w:rsidRPr="00BB20F9">
        <w:rPr>
          <w:sz w:val="24"/>
          <w:szCs w:val="24"/>
        </w:rPr>
        <w:t xml:space="preserve"> </w:t>
      </w:r>
      <w:r w:rsidRPr="00BB20F9">
        <w:rPr>
          <w:sz w:val="24"/>
          <w:szCs w:val="24"/>
        </w:rPr>
        <w:t>das avaliações e na</w:t>
      </w:r>
      <w:r w:rsidRPr="00BB20F9">
        <w:rPr>
          <w:sz w:val="24"/>
          <w:szCs w:val="24"/>
        </w:rPr>
        <w:t xml:space="preserve"> </w:t>
      </w:r>
      <w:r w:rsidRPr="00BB20F9">
        <w:rPr>
          <w:sz w:val="24"/>
          <w:szCs w:val="24"/>
        </w:rPr>
        <w:t>verificação de desempenho; 5. Aulas síncronas sendo substituídas por aulas assíncronas; 6.</w:t>
      </w:r>
      <w:r w:rsidRPr="00BB20F9">
        <w:rPr>
          <w:sz w:val="24"/>
          <w:szCs w:val="24"/>
        </w:rPr>
        <w:t xml:space="preserve"> </w:t>
      </w:r>
      <w:r w:rsidRPr="00BB20F9">
        <w:rPr>
          <w:sz w:val="24"/>
          <w:szCs w:val="24"/>
        </w:rPr>
        <w:t>Desgaste físico e mental de discentes e docentes no gerenciamento, exclusivamente, virtual das</w:t>
      </w:r>
      <w:r w:rsidRPr="00BB20F9">
        <w:rPr>
          <w:sz w:val="24"/>
          <w:szCs w:val="24"/>
        </w:rPr>
        <w:t xml:space="preserve"> disciplinas; 7. Simplificação de conteúdos e vivências de aprendizagem pela limitação do virtual, sem as práticas de laboratório, visitas, viagens e construção conjunta dos ateliês, e; 8.</w:t>
      </w:r>
      <w:r w:rsidRPr="00BB20F9">
        <w:rPr>
          <w:sz w:val="24"/>
          <w:szCs w:val="24"/>
        </w:rPr>
        <w:t xml:space="preserve"> </w:t>
      </w:r>
      <w:r w:rsidRPr="00BB20F9">
        <w:rPr>
          <w:sz w:val="24"/>
          <w:szCs w:val="24"/>
        </w:rPr>
        <w:t>Limitações de espaço, equipamentos e sinal de internet para o acomp</w:t>
      </w:r>
      <w:r w:rsidRPr="00BB20F9">
        <w:rPr>
          <w:sz w:val="24"/>
          <w:szCs w:val="24"/>
        </w:rPr>
        <w:t xml:space="preserve">anhamento contínuo das atividades nas plataformas virtuais, restando muitas lacunas e indispensáveis aprofundamentos formativos, com evidentes prejuízos na formação do futuro profissional arquiteto e urbanista – especialmente, nos semestres iniciais de </w:t>
      </w:r>
      <w:r w:rsidRPr="00BB20F9">
        <w:rPr>
          <w:sz w:val="24"/>
          <w:szCs w:val="24"/>
        </w:rPr>
        <w:lastRenderedPageBreak/>
        <w:t>cur</w:t>
      </w:r>
      <w:r w:rsidRPr="00BB20F9">
        <w:rPr>
          <w:sz w:val="24"/>
          <w:szCs w:val="24"/>
        </w:rPr>
        <w:t xml:space="preserve">so, os mais afetados –  os quais agora devem, de alguma forma, serem identificados, resgatados e compensados antes das formaturas. 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t>Da experiência do período, que aponta outra conjuntura paradigmática – um novo tempo para a humanidade – onde se impôs e gra</w:t>
      </w:r>
      <w:r w:rsidRPr="00BB20F9">
        <w:rPr>
          <w:sz w:val="24"/>
          <w:szCs w:val="24"/>
        </w:rPr>
        <w:t xml:space="preserve">ça, então, a onipresença tecnológica nas realidades pessoais, profissionais e educacionais, na forma de </w:t>
      </w:r>
      <w:r w:rsidRPr="00BB20F9">
        <w:rPr>
          <w:i/>
          <w:sz w:val="24"/>
          <w:szCs w:val="24"/>
        </w:rPr>
        <w:t>smartphones</w:t>
      </w:r>
      <w:r w:rsidRPr="00BB20F9">
        <w:rPr>
          <w:sz w:val="24"/>
          <w:szCs w:val="24"/>
        </w:rPr>
        <w:t xml:space="preserve">, </w:t>
      </w:r>
      <w:r w:rsidRPr="00BB20F9">
        <w:rPr>
          <w:i/>
          <w:sz w:val="24"/>
          <w:szCs w:val="24"/>
        </w:rPr>
        <w:t>smartwatches</w:t>
      </w:r>
      <w:r w:rsidRPr="00BB20F9">
        <w:rPr>
          <w:sz w:val="24"/>
          <w:szCs w:val="24"/>
        </w:rPr>
        <w:t xml:space="preserve">, </w:t>
      </w:r>
      <w:r w:rsidRPr="00BB20F9">
        <w:rPr>
          <w:i/>
          <w:sz w:val="24"/>
          <w:szCs w:val="24"/>
        </w:rPr>
        <w:t>tablets</w:t>
      </w:r>
      <w:r w:rsidRPr="00BB20F9">
        <w:rPr>
          <w:sz w:val="24"/>
          <w:szCs w:val="24"/>
        </w:rPr>
        <w:t xml:space="preserve">, redes sociais, </w:t>
      </w:r>
      <w:r w:rsidRPr="00BB20F9">
        <w:rPr>
          <w:i/>
          <w:sz w:val="24"/>
          <w:szCs w:val="24"/>
        </w:rPr>
        <w:t>softwares</w:t>
      </w:r>
      <w:r w:rsidRPr="00BB20F9">
        <w:rPr>
          <w:sz w:val="24"/>
          <w:szCs w:val="24"/>
        </w:rPr>
        <w:t xml:space="preserve"> e ambientes virtuais profissionais e de ensino aprendizagem para quase todas as áreas e fai</w:t>
      </w:r>
      <w:r w:rsidRPr="00BB20F9">
        <w:rPr>
          <w:sz w:val="24"/>
          <w:szCs w:val="24"/>
        </w:rPr>
        <w:t xml:space="preserve">xas etárias. Cabe, no entanto, reconhecer o potencial dessas tecnologias enquanto uma incorporação inteligente e equilibrada à realidade do ensino e formação presencial, que oportuniza aproximação, comunicação e interação, relacionando contextos e pessoas </w:t>
      </w:r>
      <w:r w:rsidRPr="00BB20F9">
        <w:rPr>
          <w:sz w:val="24"/>
          <w:szCs w:val="24"/>
        </w:rPr>
        <w:t xml:space="preserve">distantes, amplificando oportunidades e notícias, intensificando possibilidades e eventos, otimizando encaminhamentos e desenvolvimentos de processos, repercutindo no tempo, no espaço e no alcance da informação. 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t>Contudo, avalia-se após esta experiência, q</w:t>
      </w:r>
      <w:r w:rsidRPr="00BB20F9">
        <w:rPr>
          <w:sz w:val="24"/>
          <w:szCs w:val="24"/>
        </w:rPr>
        <w:t>ue tais ferramentas devem cumprir, apenas, papel suplementar, complementar às atividades basilares de ensino e formação presencial, como, por exemplo, ampliação, reforço e/ou aprofundamento temático,</w:t>
      </w:r>
      <w:r w:rsidRPr="00BB20F9">
        <w:rPr>
          <w:strike/>
          <w:sz w:val="24"/>
          <w:szCs w:val="24"/>
        </w:rPr>
        <w:t xml:space="preserve"> </w:t>
      </w:r>
      <w:r w:rsidRPr="00BB20F9">
        <w:rPr>
          <w:sz w:val="24"/>
          <w:szCs w:val="24"/>
        </w:rPr>
        <w:t>assomados (e não substituindo)</w:t>
      </w:r>
      <w:r w:rsidRPr="00BB20F9">
        <w:rPr>
          <w:sz w:val="24"/>
          <w:szCs w:val="24"/>
        </w:rPr>
        <w:t xml:space="preserve"> </w:t>
      </w:r>
      <w:r w:rsidRPr="00BB20F9">
        <w:rPr>
          <w:sz w:val="24"/>
          <w:szCs w:val="24"/>
        </w:rPr>
        <w:t>à carga horária primeira.</w:t>
      </w:r>
      <w:r w:rsidRPr="00BB20F9">
        <w:rPr>
          <w:sz w:val="24"/>
          <w:szCs w:val="24"/>
        </w:rPr>
        <w:t xml:space="preserve"> No limite, não têm potencial de serem incorporados em substituição às atividades presenciais determinantes e contabilizarem na carga horária do presencial para além do recomendado, constituindo-se, portanto, como recursos extras, quaisquer que sejam: text</w:t>
      </w:r>
      <w:r w:rsidRPr="00BB20F9">
        <w:rPr>
          <w:sz w:val="24"/>
          <w:szCs w:val="24"/>
        </w:rPr>
        <w:t>os de suporte, vídeos ilustrativos, aulas obrigatoriamente síncronas e uso do assíncrono para apoio/reforço, atividades planejadas pré e pós-aula, fortalecendo a apropriação e fixação dos conteúdos. São ferramentas, não uma modalidade de ensino!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t>Outro pote</w:t>
      </w:r>
      <w:r w:rsidRPr="00BB20F9">
        <w:rPr>
          <w:sz w:val="24"/>
          <w:szCs w:val="24"/>
        </w:rPr>
        <w:t>ncial interessante demonstrado no período, e que pode ser tido como permanência positiva, é o que permitem tais tecnologias e ambientes virtuais como ferramentas de estruturar e operar com suficiência eventos em formatos</w:t>
      </w:r>
      <w:r w:rsidRPr="00BB20F9">
        <w:rPr>
          <w:sz w:val="24"/>
          <w:szCs w:val="24"/>
        </w:rPr>
        <w:t xml:space="preserve"> </w:t>
      </w:r>
      <w:r w:rsidRPr="00BB20F9">
        <w:rPr>
          <w:sz w:val="24"/>
          <w:szCs w:val="24"/>
        </w:rPr>
        <w:t xml:space="preserve">virtuais ou híbridos – congressos, </w:t>
      </w:r>
      <w:r w:rsidRPr="00BB20F9">
        <w:rPr>
          <w:sz w:val="24"/>
          <w:szCs w:val="24"/>
        </w:rPr>
        <w:t>seminários, encontros acadêmicos – assim como reuniões, as mais diversas – administrativas e/ou pedagógicas – ou de grupos de pesquisa, de extensão, dos EMAU´s e laboratórios, as bancas de TFG, etc., aproximando contextos, pessoas, amplificando possibilida</w:t>
      </w:r>
      <w:r w:rsidRPr="00BB20F9">
        <w:rPr>
          <w:sz w:val="24"/>
          <w:szCs w:val="24"/>
        </w:rPr>
        <w:t>des de conhecimento e reduzindo tempos de deslocamento.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t>Dentre os desafios da incorporação tecnológica pelas IES, conforme apontado em uma série de depoimentos docentes em nossa pesquisa, estão a necessidade de investimentos institucionais para adequação e</w:t>
      </w:r>
      <w:r w:rsidRPr="00BB20F9">
        <w:rPr>
          <w:sz w:val="24"/>
          <w:szCs w:val="24"/>
        </w:rPr>
        <w:t xml:space="preserve">spacial e virtual, em rede e equipamentos </w:t>
      </w:r>
      <w:r w:rsidRPr="00BB20F9">
        <w:rPr>
          <w:sz w:val="24"/>
          <w:szCs w:val="24"/>
        </w:rPr>
        <w:lastRenderedPageBreak/>
        <w:t xml:space="preserve">que permitam gerenciamento seguro, na intensidade do uso amplificado das tecnologias da informação no ensino e formação,  e a promoção de acessibilidade aos equipamentos e </w:t>
      </w:r>
      <w:r w:rsidRPr="00BB20F9">
        <w:rPr>
          <w:i/>
          <w:sz w:val="24"/>
          <w:szCs w:val="24"/>
        </w:rPr>
        <w:t>softwares</w:t>
      </w:r>
      <w:r w:rsidRPr="00BB20F9">
        <w:rPr>
          <w:sz w:val="24"/>
          <w:szCs w:val="24"/>
        </w:rPr>
        <w:t xml:space="preserve"> apropriados tanto para docentes </w:t>
      </w:r>
      <w:r w:rsidRPr="00BB20F9">
        <w:rPr>
          <w:sz w:val="24"/>
          <w:szCs w:val="24"/>
        </w:rPr>
        <w:t xml:space="preserve">como discentes, especialmente no campo disciplinar da Arquitetura e Urbanismo, altamente exigente, com cuidadoso suporte à discentes em frágeis condições socioeconômicas – uma parcela significativa nas IES públicas. 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  <w:rPr>
          <w:sz w:val="24"/>
          <w:szCs w:val="24"/>
        </w:rPr>
      </w:pPr>
      <w:r w:rsidRPr="00BB20F9">
        <w:rPr>
          <w:sz w:val="24"/>
          <w:szCs w:val="24"/>
        </w:rPr>
        <w:t xml:space="preserve">Outro aspecto essencial de atenção é o </w:t>
      </w:r>
      <w:r w:rsidRPr="00BB20F9">
        <w:rPr>
          <w:sz w:val="24"/>
          <w:szCs w:val="24"/>
        </w:rPr>
        <w:t>treinamento e suporte didático-pedagógico contínuo para os docentes apropriarem-se e desenvolverem, com eficiência e vistas à eficácia, das ferramentas e ambientes virtuais de ensino aprendizagem – uma novidade para a maioria – assim como, também, a contab</w:t>
      </w:r>
      <w:r w:rsidRPr="00BB20F9">
        <w:rPr>
          <w:sz w:val="24"/>
          <w:szCs w:val="24"/>
        </w:rPr>
        <w:t>ilização de carga-horária para esse gerenciamento, com remuneração para além do espaço do encontro didático presencial com discentes nas situações contratuais dos professores horistas, ajustando a situação trabalhista de ampliada exigência e rendendo a val</w:t>
      </w:r>
      <w:r w:rsidRPr="00BB20F9">
        <w:rPr>
          <w:sz w:val="24"/>
          <w:szCs w:val="24"/>
        </w:rPr>
        <w:t>orização profissional meritória.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  <w:rPr>
          <w:b/>
          <w:sz w:val="24"/>
          <w:szCs w:val="24"/>
        </w:rPr>
      </w:pPr>
      <w:r w:rsidRPr="00BB20F9">
        <w:rPr>
          <w:b/>
          <w:sz w:val="24"/>
          <w:szCs w:val="24"/>
        </w:rPr>
        <w:t>Encaminhamentos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t xml:space="preserve">Aproximado o fim dessa surpreendente experiência, em análise, reitera-se a convicção, por parte desse Conselho, de que o Ensino à Distância é modalidade inadmissível à formação de arquitetos e urbanistas, </w:t>
      </w:r>
      <w:r w:rsidRPr="00BB20F9">
        <w:rPr>
          <w:sz w:val="24"/>
          <w:szCs w:val="24"/>
        </w:rPr>
        <w:t xml:space="preserve">devendo ser, veementemente, refutada, dada à condição matérica e prática inerente da disciplina Arquitetura e Urbanismo – uma segunda natureza, construída, diante da preexistente – a qual, em sua </w:t>
      </w:r>
      <w:r w:rsidRPr="00BB20F9">
        <w:rPr>
          <w:i/>
          <w:sz w:val="24"/>
          <w:szCs w:val="24"/>
        </w:rPr>
        <w:t>práxis</w:t>
      </w:r>
      <w:r w:rsidRPr="00BB20F9">
        <w:rPr>
          <w:sz w:val="24"/>
          <w:szCs w:val="24"/>
        </w:rPr>
        <w:t xml:space="preserve"> e </w:t>
      </w:r>
      <w:r w:rsidRPr="00BB20F9">
        <w:rPr>
          <w:i/>
          <w:sz w:val="24"/>
          <w:szCs w:val="24"/>
        </w:rPr>
        <w:t>modus operandi</w:t>
      </w:r>
      <w:r w:rsidRPr="00BB20F9">
        <w:rPr>
          <w:sz w:val="24"/>
          <w:szCs w:val="24"/>
        </w:rPr>
        <w:t xml:space="preserve"> – da concepção à execução –  lida co</w:t>
      </w:r>
      <w:r w:rsidRPr="00BB20F9">
        <w:rPr>
          <w:sz w:val="24"/>
          <w:szCs w:val="24"/>
        </w:rPr>
        <w:t>m espaço ‘físico’, realidade social e ambiência cultural, transformando e impactando, diretamente, a vida das comunidades, sendo sua responsabilidade não só a qualidade do construído, como a saúde, a segurança e a integridade física pessoal, atributos conf</w:t>
      </w:r>
      <w:r w:rsidRPr="00BB20F9">
        <w:rPr>
          <w:sz w:val="24"/>
          <w:szCs w:val="24"/>
        </w:rPr>
        <w:t>iáveis, apenas, a quem tenha a formação e a vivência do espaço e da prática construtiva diante da realidade e para ela mesma, o que o virtual, decididamente, não oferece na forma e intensidade necessárias.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t>Reitera-se que o Ensino Remoto Emergencial é trans</w:t>
      </w:r>
      <w:r w:rsidRPr="00BB20F9">
        <w:rPr>
          <w:sz w:val="24"/>
          <w:szCs w:val="24"/>
        </w:rPr>
        <w:t>itório e passível de ser adotado em</w:t>
      </w:r>
      <w:r w:rsidRPr="00BB20F9">
        <w:rPr>
          <w:sz w:val="24"/>
          <w:szCs w:val="24"/>
        </w:rPr>
        <w:t xml:space="preserve"> </w:t>
      </w:r>
      <w:r w:rsidRPr="00BB20F9">
        <w:rPr>
          <w:b/>
          <w:sz w:val="24"/>
          <w:szCs w:val="24"/>
        </w:rPr>
        <w:t>casos excepcionais</w:t>
      </w:r>
      <w:r w:rsidRPr="00BB20F9">
        <w:rPr>
          <w:sz w:val="24"/>
          <w:szCs w:val="24"/>
        </w:rPr>
        <w:t>, observados o contexto e o momento social. As boas práticas pedagógicas experimentadas durante a pandemia não devem substituir à presencialidade, mas sim somadas, e nunca, confundidas ao Ensino à Distâ</w:t>
      </w:r>
      <w:r w:rsidRPr="00BB20F9">
        <w:rPr>
          <w:sz w:val="24"/>
          <w:szCs w:val="24"/>
        </w:rPr>
        <w:t xml:space="preserve">ncia,  mas, cabe a mensagem de que se compreenda o momento recente como </w:t>
      </w:r>
      <w:r w:rsidRPr="00BB20F9">
        <w:rPr>
          <w:b/>
          <w:sz w:val="24"/>
          <w:szCs w:val="24"/>
        </w:rPr>
        <w:t>oportunidade de qualificação do ensino presencial em Arquitetura e Urbanismo</w:t>
      </w:r>
      <w:r w:rsidRPr="00BB20F9">
        <w:rPr>
          <w:sz w:val="24"/>
          <w:szCs w:val="24"/>
        </w:rPr>
        <w:t>,</w:t>
      </w:r>
      <w:r w:rsidRPr="00BB20F9">
        <w:rPr>
          <w:b/>
          <w:sz w:val="24"/>
          <w:szCs w:val="24"/>
        </w:rPr>
        <w:t xml:space="preserve"> </w:t>
      </w:r>
      <w:r w:rsidRPr="00BB20F9">
        <w:rPr>
          <w:sz w:val="24"/>
          <w:szCs w:val="24"/>
        </w:rPr>
        <w:t>resgatando</w:t>
      </w:r>
      <w:r w:rsidRPr="00BB20F9">
        <w:rPr>
          <w:b/>
          <w:sz w:val="24"/>
          <w:szCs w:val="24"/>
        </w:rPr>
        <w:t xml:space="preserve"> </w:t>
      </w:r>
      <w:r w:rsidRPr="00BB20F9">
        <w:rPr>
          <w:sz w:val="24"/>
          <w:szCs w:val="24"/>
        </w:rPr>
        <w:t>métodos, estratégias e práticas pedagógicas com incorporação de ferramentas digitais potenciali</w:t>
      </w:r>
      <w:r w:rsidRPr="00BB20F9">
        <w:rPr>
          <w:sz w:val="24"/>
          <w:szCs w:val="24"/>
        </w:rPr>
        <w:t xml:space="preserve">zando vínculo mais próximo dos futuros arquitetos e urbanistas com as demandas da realidade social brasileira, que lhes alcem maior domínio prático dos </w:t>
      </w:r>
      <w:r w:rsidRPr="00BB20F9">
        <w:rPr>
          <w:sz w:val="24"/>
          <w:szCs w:val="24"/>
        </w:rPr>
        <w:lastRenderedPageBreak/>
        <w:t>aspectos técnico-construtivos e facultem-lhes melhor percepção do agenciamento trabalhista produtivo e d</w:t>
      </w:r>
      <w:r w:rsidRPr="00BB20F9">
        <w:rPr>
          <w:sz w:val="24"/>
          <w:szCs w:val="24"/>
        </w:rPr>
        <w:t xml:space="preserve">e sua responsabilidade profissional, amplificando alcances, aprofundando experiências e sendo mais inclusivo – toda a diversidade e condição brasileira – de modo a provocar a reinvenção de um ensino notório, </w:t>
      </w:r>
      <w:r w:rsidRPr="00BB20F9">
        <w:rPr>
          <w:b/>
          <w:sz w:val="24"/>
          <w:szCs w:val="24"/>
        </w:rPr>
        <w:t>de interação presencial, diálogo comunitário, vi</w:t>
      </w:r>
      <w:r w:rsidRPr="00BB20F9">
        <w:rPr>
          <w:b/>
          <w:sz w:val="24"/>
          <w:szCs w:val="24"/>
        </w:rPr>
        <w:t>vência espacial e experimentação construtivas</w:t>
      </w:r>
      <w:r w:rsidRPr="00BB20F9">
        <w:rPr>
          <w:sz w:val="24"/>
          <w:szCs w:val="24"/>
        </w:rPr>
        <w:t xml:space="preserve"> para a construção de um país mais justo e democrático.</w:t>
      </w:r>
    </w:p>
    <w:p w:rsidR="00331AB4" w:rsidRPr="00BB20F9" w:rsidRDefault="00EC2205">
      <w:pPr>
        <w:shd w:val="clear" w:color="auto" w:fill="FFFFFF"/>
        <w:spacing w:before="240" w:after="240" w:line="276" w:lineRule="auto"/>
        <w:jc w:val="both"/>
      </w:pPr>
      <w:r w:rsidRPr="00BB20F9">
        <w:rPr>
          <w:sz w:val="24"/>
          <w:szCs w:val="24"/>
        </w:rPr>
        <w:t>Por fim, importa reforçar a necessidade de retomada do Ensino Presencial, objetivando, em especial, sanar as lacunas geradas nas práticas interrompidas, em</w:t>
      </w:r>
      <w:r w:rsidRPr="00BB20F9">
        <w:rPr>
          <w:sz w:val="24"/>
          <w:szCs w:val="24"/>
        </w:rPr>
        <w:t xml:space="preserve"> laboratórios, estágios, visitas técnicas, nas disciplinas de ateliê, de estrutura, de técnicas construtivas, na pesquisa e na extensão, obedecendo-se, claro, os protocolos sanitários recomendados. Nesta retomada, deve existir a predominância do presencial</w:t>
      </w:r>
      <w:r w:rsidRPr="00BB20F9">
        <w:rPr>
          <w:sz w:val="24"/>
          <w:szCs w:val="24"/>
        </w:rPr>
        <w:t xml:space="preserve"> com frequência obrigatória, e, a participação do virtual, deve ser oferecida de forma capacitada e suplementar, dentro dos limites recomendados.</w:t>
      </w:r>
    </w:p>
    <w:sectPr w:rsidR="00331AB4" w:rsidRPr="00BB20F9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2205">
      <w:pPr>
        <w:spacing w:after="0" w:line="240" w:lineRule="auto"/>
      </w:pPr>
      <w:r>
        <w:separator/>
      </w:r>
    </w:p>
  </w:endnote>
  <w:endnote w:type="continuationSeparator" w:id="0">
    <w:p w:rsidR="00000000" w:rsidRDefault="00EC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AFB" w:rsidRDefault="00EC220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430AFB" w:rsidRDefault="00EC2205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430AFB" w:rsidRDefault="00EC220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30AFB" w:rsidRDefault="00EC22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22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C2205">
      <w:pPr>
        <w:spacing w:after="0" w:line="240" w:lineRule="auto"/>
      </w:pPr>
      <w:r>
        <w:continuationSeparator/>
      </w:r>
    </w:p>
  </w:footnote>
  <w:footnote w:id="1">
    <w:p w:rsidR="00331AB4" w:rsidRDefault="00EC2205">
      <w:pPr>
        <w:pStyle w:val="Textodenotaderodap"/>
        <w:jc w:val="both"/>
      </w:pPr>
      <w:r>
        <w:rPr>
          <w:rStyle w:val="Refdenotaderodap"/>
        </w:rPr>
        <w:footnoteRef/>
      </w:r>
      <w:r>
        <w:rPr>
          <w:rFonts w:ascii="Calibri" w:hAnsi="Calibri" w:cs="Calibri"/>
        </w:rPr>
        <w:t xml:space="preserve"> Encaminhou pesquisa realizada junto aos coordenadores de curso de graduação em arquitetura e urbanismo sobre o Ensino Remoto Emergencial.</w:t>
      </w:r>
    </w:p>
    <w:p w:rsidR="00331AB4" w:rsidRDefault="00EC2205">
      <w:pPr>
        <w:pStyle w:val="Textodenotaderodap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Disponível em: https://www.</w:t>
      </w:r>
      <w:r>
        <w:rPr>
          <w:rFonts w:ascii="Calibri" w:hAnsi="Calibri" w:cs="Calibri"/>
        </w:rPr>
        <w:t>caurs.gov.br/wp-content/uploads/2020/08/DeliberacaoCEF35-2020.pdf</w:t>
      </w:r>
    </w:p>
    <w:p w:rsidR="00331AB4" w:rsidRDefault="00331AB4">
      <w:pPr>
        <w:pStyle w:val="Textodenotaderodap"/>
        <w:jc w:val="both"/>
        <w:rPr>
          <w:rFonts w:ascii="Calibri" w:hAnsi="Calibri" w:cs="Calibri"/>
        </w:rPr>
      </w:pPr>
    </w:p>
  </w:footnote>
  <w:footnote w:id="2">
    <w:p w:rsidR="00331AB4" w:rsidRDefault="00EC2205">
      <w:pPr>
        <w:pStyle w:val="Textodenotaderodap"/>
        <w:jc w:val="both"/>
      </w:pPr>
      <w:r>
        <w:rPr>
          <w:rStyle w:val="Refdenotaderodap"/>
        </w:rPr>
        <w:footnoteRef/>
      </w:r>
      <w:r>
        <w:rPr>
          <w:rFonts w:ascii="Calibri" w:hAnsi="Calibri" w:cs="Calibri"/>
        </w:rPr>
        <w:t xml:space="preserve"> Encaminhou pesquisa realizada junto aos docentes de curso de graduação em arquitetura e urbanismo sobre o Ensino Remoto Emergencial, por meio de formulário eletrônico sobre os </w:t>
      </w:r>
      <w:r>
        <w:rPr>
          <w:rFonts w:ascii="Calibri" w:hAnsi="Calibri" w:cs="Calibri"/>
          <w:i/>
        </w:rPr>
        <w:t>Desafios do Ensino de Arquitetura e Urbanismo durante a pandemia</w:t>
      </w:r>
      <w:r>
        <w:rPr>
          <w:rFonts w:ascii="Calibri" w:hAnsi="Calibri" w:cs="Calibri"/>
        </w:rPr>
        <w:t xml:space="preserve"> e encaminhou seu relatório de diagnósticos.</w:t>
      </w:r>
    </w:p>
    <w:p w:rsidR="00331AB4" w:rsidRDefault="00EC2205">
      <w:pPr>
        <w:pStyle w:val="Textodenotaderodap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Disponível em: https://www.caurs.gov.br/wp-content/uploads/2021/06/CEF-DLB-030-2021.pdf</w:t>
      </w:r>
    </w:p>
    <w:p w:rsidR="00331AB4" w:rsidRDefault="00331AB4">
      <w:pPr>
        <w:pStyle w:val="Textodenotaderodap"/>
        <w:jc w:val="both"/>
      </w:pPr>
    </w:p>
  </w:footnote>
  <w:footnote w:id="3">
    <w:p w:rsidR="00331AB4" w:rsidRDefault="00EC220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</w:rPr>
        <w:t xml:space="preserve">PORTARIA MEC Nº 343, DE 17 DE MARÇO DE 2020: Dispõe sobre a substituição das aulas presenciais por aulas em meios digitais </w:t>
      </w:r>
      <w:r>
        <w:rPr>
          <w:rFonts w:ascii="Calibri" w:hAnsi="Calibri" w:cs="Calibri"/>
          <w:b/>
        </w:rPr>
        <w:t>enquanto durar a situação de pandemia</w:t>
      </w:r>
      <w:r>
        <w:rPr>
          <w:rFonts w:ascii="Calibri" w:hAnsi="Calibri" w:cs="Calibri"/>
        </w:rPr>
        <w:t xml:space="preserve"> do Novo Coronavírus - COVID-19. </w:t>
      </w:r>
    </w:p>
    <w:p w:rsidR="00331AB4" w:rsidRDefault="00EC2205">
      <w:pPr>
        <w:pStyle w:val="Textodenotaderodap"/>
        <w:jc w:val="both"/>
      </w:pPr>
      <w:r>
        <w:rPr>
          <w:rFonts w:ascii="Calibri" w:hAnsi="Calibri" w:cs="Calibri"/>
        </w:rPr>
        <w:t>LEI N. 14.040, DE 18 DE AGOSTO DE</w:t>
      </w:r>
      <w:r>
        <w:rPr>
          <w:rFonts w:ascii="Calibri" w:hAnsi="Calibri" w:cs="Calibri"/>
        </w:rPr>
        <w:t xml:space="preserve"> 2020: Estabelece </w:t>
      </w:r>
      <w:r>
        <w:rPr>
          <w:rFonts w:ascii="Calibri" w:hAnsi="Calibri" w:cs="Calibri"/>
          <w:b/>
        </w:rPr>
        <w:t>normas educacionais excepcionais</w:t>
      </w:r>
      <w:r>
        <w:rPr>
          <w:rFonts w:ascii="Calibri" w:hAnsi="Calibri" w:cs="Calibri"/>
        </w:rPr>
        <w:t xml:space="preserve"> a serem adotadas durante o estado de calamidade pública reconhecido pelo Decreto Legislativo nº 6, de 20 de março de 2020; e altera a Lei nº 11.947, de 16 de junho de 2009.</w:t>
      </w:r>
    </w:p>
    <w:p w:rsidR="00331AB4" w:rsidRDefault="00EC2205">
      <w:pPr>
        <w:pStyle w:val="Textodenotaderodap"/>
        <w:jc w:val="both"/>
      </w:pPr>
      <w:r>
        <w:rPr>
          <w:rFonts w:ascii="Calibri" w:hAnsi="Calibri" w:cs="Calibri"/>
        </w:rPr>
        <w:t xml:space="preserve">RESOLUÇÃO CNE/CP Nº 2, DE 10 DE </w:t>
      </w:r>
      <w:r>
        <w:rPr>
          <w:rFonts w:ascii="Calibri" w:hAnsi="Calibri" w:cs="Calibri"/>
        </w:rPr>
        <w:t xml:space="preserve">DEZEMBRO DE 2020: </w:t>
      </w:r>
      <w:r>
        <w:rPr>
          <w:rFonts w:ascii="Calibri" w:hAnsi="Calibri" w:cs="Calibri"/>
          <w:i/>
        </w:rPr>
        <w:t>(...)Art. 25. No período de estado de calamidade pública, em caráter excepcional, as IES ficam dispensadas da obrigatoriedade de observância do mínimo de dias de efetivo trabalho acadêmico, de acordo com o art. 3º, caput, da Lei nº 14.040</w:t>
      </w:r>
      <w:r>
        <w:rPr>
          <w:rFonts w:ascii="Calibri" w:hAnsi="Calibri" w:cs="Calibri"/>
          <w:i/>
        </w:rPr>
        <w:t xml:space="preserve">/2020 e os Pareceres CNE/CP nº 5/2020 e CNE/CP nº 11/2020, </w:t>
      </w:r>
      <w:r>
        <w:rPr>
          <w:rFonts w:ascii="Calibri" w:hAnsi="Calibri" w:cs="Calibri"/>
          <w:b/>
          <w:i/>
        </w:rPr>
        <w:t>desde que observadas as DCNs</w:t>
      </w:r>
      <w:r>
        <w:rPr>
          <w:rFonts w:ascii="Calibri" w:hAnsi="Calibri" w:cs="Calibri"/>
          <w:i/>
        </w:rPr>
        <w:t xml:space="preserve"> e as normas a serem editadas pelos respectivos sistemas de ensino, e desde que mantida a carga horária prevista na grade curricular para cada curso</w:t>
      </w:r>
      <w:r>
        <w:rPr>
          <w:rFonts w:ascii="Calibri" w:hAnsi="Calibri" w:cs="Calibri"/>
          <w:b/>
          <w:i/>
        </w:rPr>
        <w:t>, e que não haja prej</w:t>
      </w:r>
      <w:r>
        <w:rPr>
          <w:rFonts w:ascii="Calibri" w:hAnsi="Calibri" w:cs="Calibri"/>
          <w:b/>
          <w:i/>
        </w:rPr>
        <w:t>uízo aos conteúdos essenciais para o exercício da profissão</w:t>
      </w:r>
      <w:r>
        <w:rPr>
          <w:rFonts w:ascii="Calibri" w:hAnsi="Calibri" w:cs="Calibri"/>
          <w:i/>
        </w:rPr>
        <w:t xml:space="preserve">. Art. 26. Podem ser desenvolvidas atividades pedagógicas não presenciais vinculadas aos conteúdos curriculares de cada curso, por meio do uso de tecnologias da informação e comunicação, para fins </w:t>
      </w:r>
      <w:r>
        <w:rPr>
          <w:rFonts w:ascii="Calibri" w:hAnsi="Calibri" w:cs="Calibri"/>
          <w:i/>
        </w:rPr>
        <w:t>de integralização da respectiva carga horária.(...)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AFB" w:rsidRDefault="00EC2205">
    <w:pPr>
      <w:pStyle w:val="Cabealho"/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-448312</wp:posOffset>
          </wp:positionV>
          <wp:extent cx="7572374" cy="971550"/>
          <wp:effectExtent l="0" t="0" r="0" b="0"/>
          <wp:wrapNone/>
          <wp:docPr id="1" name="Imagem 1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048E"/>
    <w:multiLevelType w:val="multilevel"/>
    <w:tmpl w:val="F410D2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31AB4"/>
    <w:rsid w:val="00331AB4"/>
    <w:rsid w:val="00BB20F9"/>
    <w:rsid w:val="00E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75B9C-A00C-415F-A8EA-B0E2EC1F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Reviso">
    <w:name w:val="Revision"/>
    <w:pPr>
      <w:suppressAutoHyphens/>
      <w:spacing w:after="0" w:line="240" w:lineRule="auto"/>
    </w:pPr>
  </w:style>
  <w:style w:type="paragraph" w:styleId="Textodenotaderodap">
    <w:name w:val="footnote text"/>
    <w:basedOn w:val="Normal"/>
    <w:pPr>
      <w:spacing w:after="0" w:line="240" w:lineRule="auto"/>
    </w:pPr>
    <w:rPr>
      <w:rFonts w:ascii="Cambria" w:eastAsia="Cambria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Cambria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2319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Jéssica Nataly Santos de Lima</cp:lastModifiedBy>
  <cp:revision>2</cp:revision>
  <cp:lastPrinted>2021-11-17T19:21:00Z</cp:lastPrinted>
  <dcterms:created xsi:type="dcterms:W3CDTF">2021-11-17T19:39:00Z</dcterms:created>
  <dcterms:modified xsi:type="dcterms:W3CDTF">2021-11-17T19:39:00Z</dcterms:modified>
</cp:coreProperties>
</file>