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23" w:rsidRDefault="004943F5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>SÚMULA 231ª REUNIÃO ORDINÁRIA DA CED-CAU/RS</w:t>
      </w:r>
    </w:p>
    <w:p w:rsidR="00533523" w:rsidRDefault="00533523">
      <w:pPr>
        <w:rPr>
          <w:rFonts w:ascii="Calibri" w:hAnsi="Calibri" w:cs="Calibri"/>
          <w:sz w:val="22"/>
          <w:szCs w:val="22"/>
        </w:rPr>
      </w:pPr>
    </w:p>
    <w:tbl>
      <w:tblPr>
        <w:tblW w:w="992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3828"/>
        <w:gridCol w:w="1134"/>
        <w:gridCol w:w="2976"/>
      </w:tblGrid>
      <w:tr w:rsidR="0053352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r>
              <w:rPr>
                <w:rFonts w:ascii="Calibri" w:hAnsi="Calibri" w:cs="Calibr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10 de fevereiro de 2022, </w:t>
            </w:r>
            <w:proofErr w:type="gramStart"/>
            <w:r>
              <w:rPr>
                <w:rFonts w:ascii="Calibri" w:eastAsia="MS Mincho" w:hAnsi="Calibri" w:cs="Calibri"/>
                <w:sz w:val="22"/>
                <w:szCs w:val="22"/>
              </w:rPr>
              <w:t>quinta-feira</w:t>
            </w:r>
            <w:proofErr w:type="gramEnd"/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r>
              <w:rPr>
                <w:rFonts w:ascii="Calibri" w:hAnsi="Calibri" w:cs="Calibr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9h às 12h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Reunião Remota no aplicativo Microsoft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Teams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</w:p>
        </w:tc>
      </w:tr>
    </w:tbl>
    <w:p w:rsidR="00533523" w:rsidRDefault="00533523">
      <w:pPr>
        <w:rPr>
          <w:rFonts w:ascii="Calibri" w:hAnsi="Calibri" w:cs="Calibri"/>
          <w:sz w:val="22"/>
          <w:szCs w:val="22"/>
        </w:rPr>
      </w:pPr>
    </w:p>
    <w:tbl>
      <w:tblPr>
        <w:tblW w:w="992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3828"/>
        <w:gridCol w:w="4110"/>
      </w:tblGrid>
      <w:tr w:rsidR="0053352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Coordenadora 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533523">
            <w:pPr>
              <w:rPr>
                <w:rFonts w:ascii="Calibri" w:eastAsia="MS Mincho" w:hAnsi="Calibri" w:cs="Calibri"/>
                <w:color w:val="FF0000"/>
              </w:rPr>
            </w:pP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Coordenadora Adjunta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533523">
            <w:pPr>
              <w:rPr>
                <w:rFonts w:ascii="Calibri" w:eastAsia="MS Mincho" w:hAnsi="Calibri" w:cs="Calibri"/>
                <w:color w:val="FF0000"/>
              </w:rPr>
            </w:pP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533523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Silvia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Membro 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533523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Membro suplente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Ronsoni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Arquiteta e Urbanista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533523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Jaime Leo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Ricachenevsky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Assessor Jurídico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533523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Marcio Santos</w:t>
            </w:r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de Atendimento e Fiscalização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Monica dos Santos Marques</w:t>
            </w:r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Administrativo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533523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de Atendimento e Fiscalização</w:t>
            </w:r>
          </w:p>
        </w:tc>
      </w:tr>
    </w:tbl>
    <w:p w:rsidR="00533523" w:rsidRDefault="00533523">
      <w:pPr>
        <w:rPr>
          <w:rFonts w:ascii="Calibri" w:hAnsi="Calibri" w:cs="Calibri"/>
          <w:color w:val="FF0000"/>
          <w:sz w:val="22"/>
          <w:szCs w:val="22"/>
        </w:rPr>
      </w:pPr>
    </w:p>
    <w:tbl>
      <w:tblPr>
        <w:tblW w:w="992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938"/>
      </w:tblGrid>
      <w:tr w:rsidR="00533523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pStyle w:val="PargrafodaLista"/>
              <w:numPr>
                <w:ilvl w:val="0"/>
                <w:numId w:val="1"/>
              </w:num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Verificação de quórum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Estão presentes </w:t>
            </w:r>
            <w:proofErr w:type="gramStart"/>
            <w:r>
              <w:rPr>
                <w:rFonts w:ascii="Calibri" w:eastAsia="MS Mincho" w:hAnsi="Calibri" w:cs="Calibri"/>
                <w:sz w:val="22"/>
                <w:szCs w:val="22"/>
              </w:rPr>
              <w:t>os(</w:t>
            </w:r>
            <w:proofErr w:type="gram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as)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conselheiros(as) acima nominados(as). O conselheiro Rodrigo Spinelli solicitou a convocação do membro suplente.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53352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="Calibri"/>
              </w:rPr>
            </w:pP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992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Aprovação da súmula da 230ª Reunião Ordinária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 súmula da 230ª Reunião Ordinária anterior foi aprovada com </w:t>
            </w:r>
            <w:proofErr w:type="gramStart"/>
            <w:r>
              <w:rPr>
                <w:rFonts w:ascii="Calibri" w:eastAsia="MS Mincho" w:hAnsi="Calibri" w:cs="Calibri"/>
                <w:sz w:val="22"/>
                <w:szCs w:val="22"/>
              </w:rPr>
              <w:t>5</w:t>
            </w:r>
            <w:proofErr w:type="gramEnd"/>
            <w:r>
              <w:rPr>
                <w:rFonts w:ascii="Calibri" w:eastAsia="MS Mincho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votos favoráveis.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Após reunião, colher assinatura da coordenadora e da secretária e publicar no site do CAU/RS.</w:t>
            </w:r>
          </w:p>
        </w:tc>
      </w:tr>
    </w:tbl>
    <w:p w:rsidR="00533523" w:rsidRDefault="0053352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92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533523">
        <w:tblPrEx>
          <w:tblCellMar>
            <w:top w:w="0" w:type="dxa"/>
            <w:bottom w:w="0" w:type="dxa"/>
          </w:tblCellMar>
        </w:tblPrEx>
        <w:tc>
          <w:tcPr>
            <w:tcW w:w="99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pStyle w:val="PargrafodaLista"/>
              <w:numPr>
                <w:ilvl w:val="0"/>
                <w:numId w:val="1"/>
              </w:num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Apresentação da pauta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99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É mantida a pauta previamente enviada e acrescentado </w:t>
            </w:r>
            <w:proofErr w:type="gramStart"/>
            <w:r>
              <w:rPr>
                <w:rFonts w:ascii="Calibri" w:eastAsia="MS Mincho" w:hAnsi="Calibri" w:cs="Calibri"/>
                <w:sz w:val="22"/>
                <w:szCs w:val="22"/>
              </w:rPr>
              <w:t>1</w:t>
            </w:r>
            <w:proofErr w:type="gram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(um) item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extrapauta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. </w:t>
            </w:r>
          </w:p>
        </w:tc>
      </w:tr>
    </w:tbl>
    <w:p w:rsidR="00533523" w:rsidRDefault="0053352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952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4"/>
        <w:gridCol w:w="7938"/>
      </w:tblGrid>
      <w:tr w:rsidR="00533523">
        <w:tblPrEx>
          <w:tblCellMar>
            <w:top w:w="0" w:type="dxa"/>
            <w:bottom w:w="0" w:type="dxa"/>
          </w:tblCellMar>
        </w:tblPrEx>
        <w:tc>
          <w:tcPr>
            <w:tcW w:w="99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Comunicações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conselheira </w:t>
            </w:r>
            <w:r>
              <w:rPr>
                <w:rFonts w:ascii="Calibri" w:hAnsi="Calibri" w:cs="Calibri"/>
                <w:sz w:val="22"/>
                <w:szCs w:val="22"/>
              </w:rPr>
              <w:t>Márcia orientou que o conteúdo das súmulas deve resguardar o sigilo de informações de caráter pessoal. Ela mencionou alguns procedimentos a serem observados pela assessoria operacional para o fim de alinhamento no desempenho com a comissão. Por fim, os mem</w:t>
            </w:r>
            <w:r>
              <w:rPr>
                <w:rFonts w:ascii="Calibri" w:hAnsi="Calibri" w:cs="Calibri"/>
                <w:sz w:val="22"/>
                <w:szCs w:val="22"/>
              </w:rPr>
              <w:t>bros da CED reiteraram que as convocações devem ser encaminhadas para os-mails particulares dos membros da comissão, conforme procedimento padrão.</w:t>
            </w:r>
          </w:p>
        </w:tc>
      </w:tr>
    </w:tbl>
    <w:p w:rsidR="00533523" w:rsidRDefault="0053352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928" w:type="dxa"/>
        <w:tblInd w:w="-3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919"/>
        <w:gridCol w:w="7969"/>
      </w:tblGrid>
      <w:tr w:rsidR="00533523">
        <w:tblPrEx>
          <w:tblCellMar>
            <w:top w:w="0" w:type="dxa"/>
            <w:bottom w:w="0" w:type="dxa"/>
          </w:tblCellMar>
        </w:tblPrEx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Ordem do dia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" w:type="dxa"/>
          </w:tcPr>
          <w:p w:rsidR="00533523" w:rsidRDefault="0053352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="Calibri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53352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="Calibri"/>
              </w:rPr>
            </w:pP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" w:type="dxa"/>
          </w:tcPr>
          <w:p w:rsidR="00533523" w:rsidRDefault="0053352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="Calibri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53352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="Calibri"/>
              </w:rPr>
            </w:pP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53352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="Calibri" w:eastAsia="MS Mincho" w:hAnsi="Calibri" w:cs="Calibri"/>
                <w:b/>
              </w:rPr>
            </w:pP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53352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Marcia Elizabeth </w:t>
            </w:r>
            <w:r>
              <w:rPr>
                <w:rFonts w:ascii="Calibri" w:hAnsi="Calibri" w:cs="Calibri"/>
                <w:sz w:val="22"/>
                <w:szCs w:val="22"/>
              </w:rPr>
              <w:t>Martins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Processo nº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807.012/2019</w:t>
            </w: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Fase de Instrução</w:t>
            </w:r>
            <w:r>
              <w:rPr>
                <w:rFonts w:ascii="Calibri" w:hAnsi="Calibri" w:cs="Calibri"/>
                <w:sz w:val="22"/>
                <w:szCs w:val="22"/>
              </w:rPr>
              <w:t>. Relatora não apresentou relatório e voto, pois vai solicitar parecer da assessoria jurídica em relação aos aspectos por ela questionados. A relatora apresentou os motivos que precisam ser anal</w:t>
            </w:r>
            <w:r>
              <w:rPr>
                <w:rFonts w:ascii="Calibri" w:hAnsi="Calibri" w:cs="Calibri"/>
                <w:sz w:val="22"/>
                <w:szCs w:val="22"/>
              </w:rPr>
              <w:t>isados pela assessoria jurídica. O assessor jurídico Jaime analisou a situação posta pela comissão.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processo será encaminhado à assessoria jurídica. O processo será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repautado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53352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Deise Flores Santos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Processo nº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833.217/2019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 Fase de Instrução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Despacho saneador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A relatora entende que as provas são suficientes.  Ela expõe suas justificativas. Os demais membros da comissão debatem acerca da situação apresentada. Por fim, a comissão entende </w:t>
            </w:r>
            <w:r>
              <w:rPr>
                <w:rFonts w:ascii="Calibri" w:hAnsi="Calibri" w:cs="Calibri"/>
                <w:sz w:val="22"/>
                <w:szCs w:val="22"/>
              </w:rPr>
              <w:t>que sendo suficientes as provas, não há necessidade de audiência.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relatora encaminhará o despacho saneador para a assessoria jurídica.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53352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Marcia Elizabeth Martins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Processo nº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830.883/2019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Processo em fase de Instrução. Despacho saneador</w:t>
            </w:r>
            <w:r>
              <w:rPr>
                <w:rFonts w:ascii="Calibri" w:hAnsi="Calibri" w:cs="Calibri"/>
                <w:sz w:val="22"/>
                <w:szCs w:val="22"/>
              </w:rPr>
              <w:t>. A relatora entende que as provas são suficientes. Ela expõe suas justificativas. Os demais membros da comissão debatem acerca da situação apresentada. Por fim, sendo suficientes as provas, sem necessidade 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 audiência. 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Relatora encaminhará o despacho saneador. As partes serão notificadas para apresentarem alegações finais. Após, o processo será encaminhado à Relatora para esta apresentar relatório e voto.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53352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Barakat</w:t>
            </w:r>
            <w:proofErr w:type="spellEnd"/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Processo nº 1.044.967/2020. Processo em fase de Instrução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Em que pese estivesse pautado para relatório e voto, a relatora ainda não concluiu seu relatório uma vez que surgiram dúvidas importantes a serem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esclarecidas. 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relatora vai consultar a assessoria jurídica antes do seu relatório e voto. Processo será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repautado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53352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Zuchetti</w:t>
            </w:r>
            <w:proofErr w:type="spellEnd"/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Processo nº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1.068.371/2020. Processo em fase de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dmissibilidade</w:t>
            </w:r>
            <w:r>
              <w:rPr>
                <w:rFonts w:ascii="Calibri" w:hAnsi="Calibri" w:cs="Calibri"/>
                <w:sz w:val="22"/>
              </w:rPr>
              <w:t>. O relator expõe que se trata de denúncia de ofício. Ele faz um breve relato acerca do caso. O mesmo apresenta seu parecer pelo não acatamento da denúncia, pois a denunciada apresentou provas consistentes em sua defesa. Ele reitera seu parec</w:t>
            </w:r>
            <w:r>
              <w:rPr>
                <w:rFonts w:ascii="Calibri" w:hAnsi="Calibri" w:cs="Calibri"/>
                <w:sz w:val="22"/>
              </w:rPr>
              <w:t xml:space="preserve">er. A comissão debate sobre o caso. O assessor jurídico Jaime colaborou com o assunto tratado. Mantida inadmissibilidade da denúncia. 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Deliberação da CED nº 03/2022: O parecer de inadmissibilidade do Relator foi aprovado por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5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votos 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favor. 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53352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Deise Flores Santos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Processo nº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1.090.926/2020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 Processo em fase de admissibilidade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A relatora expõe as narrativas fáticas acerca da denúncia apresentada. A relatora fez a leitura de trechos de </w:t>
            </w:r>
            <w:r>
              <w:rPr>
                <w:rFonts w:ascii="Calibri" w:hAnsi="Calibri" w:cs="Calibri"/>
                <w:sz w:val="22"/>
                <w:szCs w:val="22"/>
              </w:rPr>
              <w:t>seu parecer. Os membros da comissão debatem acerca da situação apresentada. A relatora concordou com o que foi proposto pela comissão e ajustou, diante da análise em conjunto.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relatora fará nova análise dos requisitos de admissibilidade 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apresentará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parecer. O processo será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repautado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53352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Relatora 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Deise Flores Santos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Processo nº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1.119.520/2020. Processo em fase de admissibilidade.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 relatora expõe que a peça da denúncia é bastante extensa. Ela </w:t>
            </w:r>
            <w:r>
              <w:rPr>
                <w:rFonts w:ascii="Calibri" w:hAnsi="Calibri" w:cs="Calibri"/>
                <w:sz w:val="22"/>
                <w:szCs w:val="22"/>
              </w:rPr>
              <w:t>acredita que haja fundamentos, mas não exatamente na forma apresentada pelo denunciante. Os demais conselheiros concordam. Sanadas as dúvidas, a relatora apresentará parecer</w:t>
            </w:r>
            <w:r>
              <w:rPr>
                <w:rFonts w:ascii="Calibri" w:hAnsi="Calibri" w:cs="Calibri"/>
                <w:color w:val="00B050"/>
                <w:sz w:val="22"/>
                <w:szCs w:val="22"/>
              </w:rPr>
              <w:t>.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Processo será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repautado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53352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Barakat</w:t>
            </w:r>
            <w:proofErr w:type="spellEnd"/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Processo nº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1.201.812/2020. Processo de admissibilidade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pt-BR"/>
              </w:rPr>
              <w:t xml:space="preserve">. 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A conselheira Silvia faz relato sucinto dos fatos e apresenta os fundamentos de seu parecer de admissibilidade. O assunto já havia sido posto em debate, 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anteriormente. A conselheira Silvia decide que existem indícios suficientes, diante da situação relatada. Apresenta seu parecer pela admissibilidade.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Deliberação n. 04/2022: Com cinco votos favoráveis, aprovado o parecer.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53352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Marcia Elizabeth Martins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Processo nº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1.244.622/2021.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Processo em fase de admissibilidade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t-BR"/>
              </w:rPr>
              <w:t xml:space="preserve">. A relatora apresenta seu parecer, acolhendo a denuncia de irregularidade. Ela concluiu pela admissibilidade. 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As 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conselheiras Gislaine e Sílvia se abstiveram por suspeição em razão de que conhecem a parte denunciada. Como o conselheiro Maurício precisou sair antes do término da reunião, contabilizada a sua ausência para fins de deliberação.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Deliberaçã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n. 05/2022: Com dois votos favoráveis, foi aprovado por maioria o parecer de admissibilidade. 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53352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Mauricio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Zuchetti</w:t>
            </w:r>
            <w:proofErr w:type="spellEnd"/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Processo nº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1.349.075/2021. Fase admissibilidade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Análise de requisitos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t-BR"/>
              </w:rPr>
              <w:t xml:space="preserve">. O caso já foi 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t-BR"/>
              </w:rPr>
              <w:t xml:space="preserve">analisado em reunião anterior, ficando pendente análise de requisitos pela assessoria jurídica. 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 processo será encaminhado à assessoria jurídica para análise de requisitos.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53352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Gislaine Vargas Saibro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Processo nº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1.345.134/2021. Processo em fase de a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dmissibilidade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 A relatora apresenta resumo do caso.</w:t>
            </w:r>
            <w:r>
              <w:rPr>
                <w:rFonts w:ascii="Calibri" w:eastAsia="Times New Roman" w:hAnsi="Calibri" w:cs="Calibri"/>
                <w:bCs/>
                <w:color w:val="00B05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Após, foi aberto o debate entre os presentes. 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 relatora encaminhará o processo com despacho à assessoria. O denunciado será </w:t>
            </w:r>
            <w:r>
              <w:rPr>
                <w:rFonts w:ascii="Calibri" w:hAnsi="Calibri" w:cs="Calibri"/>
                <w:sz w:val="22"/>
                <w:szCs w:val="22"/>
              </w:rPr>
              <w:t>notificado para fornecer informações.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92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533523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Assessoria Operacional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Gislaine Saibro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Processo nº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1.116.277/2020</w:t>
            </w:r>
            <w:r>
              <w:rPr>
                <w:rFonts w:ascii="Calibri" w:eastAsia="Times New Roman" w:hAnsi="Calibri" w:cs="Calibri"/>
                <w:b/>
                <w:color w:val="538DD5"/>
                <w:sz w:val="22"/>
                <w:szCs w:val="22"/>
                <w:lang w:eastAsia="pt-BR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Fase de instrução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 Antes d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pt-BR"/>
              </w:rPr>
              <w:t>o despacho saneador, o processo será encaminhado à assessoria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Este processo foi retirado da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pauta, pois há uma questão administrativa a ser esclarecida. 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tabs>
                <w:tab w:val="left" w:pos="2249"/>
              </w:tabs>
              <w:ind w:left="15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Processo será encaminhado à assessoria. Após, será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repautado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928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91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90"/>
              <w:gridCol w:w="7928"/>
            </w:tblGrid>
            <w:tr w:rsidR="00533523">
              <w:tblPrEx>
                <w:tblCellMar>
                  <w:top w:w="0" w:type="dxa"/>
                  <w:bottom w:w="0" w:type="dxa"/>
                </w:tblCellMar>
              </w:tblPrEx>
              <w:trPr>
                <w:trHeight w:val="161"/>
              </w:trPr>
              <w:tc>
                <w:tcPr>
                  <w:tcW w:w="9918" w:type="dxa"/>
                  <w:gridSpan w:val="2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3523" w:rsidRDefault="004943F5">
                  <w:pPr>
                    <w:pStyle w:val="PargrafodaLista"/>
                    <w:numPr>
                      <w:ilvl w:val="1"/>
                      <w:numId w:val="1"/>
                    </w:numPr>
                    <w:jc w:val="both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Relato de processos</w:t>
                  </w:r>
                </w:p>
              </w:tc>
            </w:tr>
            <w:tr w:rsidR="0053352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90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3523" w:rsidRDefault="004943F5">
                  <w:pPr>
                    <w:jc w:val="both"/>
                    <w:rPr>
                      <w:rFonts w:ascii="Calibri" w:eastAsia="Calibri" w:hAnsi="Calibri" w:cs="Calibri"/>
                      <w:b/>
                      <w:bCs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>Fonte</w:t>
                  </w:r>
                </w:p>
              </w:tc>
              <w:tc>
                <w:tcPr>
                  <w:tcW w:w="7928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33523" w:rsidRDefault="004943F5">
                  <w:pPr>
                    <w:jc w:val="both"/>
                    <w:rPr>
                      <w:rFonts w:ascii="Calibri" w:eastAsia="MS Mincho" w:hAnsi="Calibri" w:cs="Calibri"/>
                    </w:rPr>
                  </w:pPr>
                  <w:r>
                    <w:rPr>
                      <w:rFonts w:ascii="Calibri" w:eastAsia="MS Mincho" w:hAnsi="Calibri" w:cs="Calibri"/>
                      <w:sz w:val="22"/>
                      <w:szCs w:val="22"/>
                    </w:rPr>
                    <w:t>Assessoria</w:t>
                  </w:r>
                </w:p>
              </w:tc>
            </w:tr>
            <w:tr w:rsidR="0053352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90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3523" w:rsidRDefault="004943F5">
                  <w:pPr>
                    <w:rPr>
                      <w:rFonts w:ascii="Calibri" w:eastAsia="MS Mincho" w:hAnsi="Calibri" w:cs="Calibri"/>
                      <w:b/>
                    </w:rPr>
                  </w:pPr>
                  <w:r>
                    <w:rPr>
                      <w:rFonts w:ascii="Calibri" w:eastAsia="MS Mincho" w:hAnsi="Calibri" w:cs="Calibri"/>
                      <w:b/>
                      <w:sz w:val="22"/>
                      <w:szCs w:val="22"/>
                    </w:rPr>
                    <w:t>Relator</w:t>
                  </w:r>
                </w:p>
              </w:tc>
              <w:tc>
                <w:tcPr>
                  <w:tcW w:w="7928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33523" w:rsidRDefault="004943F5">
                  <w:pPr>
                    <w:jc w:val="both"/>
                    <w:rPr>
                      <w:rFonts w:ascii="Calibri" w:eastAsia="MS Mincho" w:hAnsi="Calibri" w:cs="Calibri"/>
                    </w:rPr>
                  </w:pPr>
                  <w:r>
                    <w:rPr>
                      <w:rFonts w:ascii="Calibri" w:eastAsia="MS Mincho" w:hAnsi="Calibri" w:cs="Calibri"/>
                      <w:sz w:val="22"/>
                      <w:szCs w:val="22"/>
                    </w:rPr>
                    <w:t>Membros</w:t>
                  </w:r>
                </w:p>
              </w:tc>
            </w:tr>
            <w:tr w:rsidR="0053352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90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3523" w:rsidRDefault="004943F5">
                  <w:pPr>
                    <w:rPr>
                      <w:rFonts w:ascii="Calibri" w:eastAsia="MS Mincho" w:hAnsi="Calibri" w:cs="Calibri"/>
                      <w:b/>
                    </w:rPr>
                  </w:pPr>
                  <w:r>
                    <w:rPr>
                      <w:rFonts w:ascii="Calibri" w:eastAsia="MS Mincho" w:hAnsi="Calibri" w:cs="Calibri"/>
                      <w:b/>
                      <w:sz w:val="22"/>
                      <w:szCs w:val="22"/>
                    </w:rPr>
                    <w:t>Discussão</w:t>
                  </w:r>
                </w:p>
              </w:tc>
              <w:tc>
                <w:tcPr>
                  <w:tcW w:w="7928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33523" w:rsidRDefault="004943F5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A conselheira Márcia lembra que seria importante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registrar nas súmulas a situação de todos os processos a fim de ter uma visão completa das atividades da CED. Os demais presentes debateram e concordaram que é importante esse levantamento estatístico a fim de que se possa demonstrar o trabalho da comissão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</w:p>
                <w:p w:rsidR="00533523" w:rsidRDefault="004943F5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A sugestão, acatada, é de que também seja encaminhado o registro para o plenário, para que todos os conselheiros tenham conhecimento dos relatos de processos da CED-CAU/RS.</w:t>
                  </w:r>
                </w:p>
              </w:tc>
            </w:tr>
            <w:tr w:rsidR="0053352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90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3523" w:rsidRDefault="004943F5">
                  <w:pPr>
                    <w:rPr>
                      <w:rFonts w:ascii="Calibri" w:eastAsia="MS Mincho" w:hAnsi="Calibri" w:cs="Calibri"/>
                      <w:b/>
                    </w:rPr>
                  </w:pPr>
                  <w:r>
                    <w:rPr>
                      <w:rFonts w:ascii="Calibri" w:eastAsia="MS Mincho" w:hAnsi="Calibri" w:cs="Calibri"/>
                      <w:b/>
                      <w:sz w:val="22"/>
                      <w:szCs w:val="22"/>
                    </w:rPr>
                    <w:t>Encaminhamento</w:t>
                  </w:r>
                </w:p>
              </w:tc>
              <w:tc>
                <w:tcPr>
                  <w:tcW w:w="7928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33523" w:rsidRDefault="004943F5">
                  <w:pPr>
                    <w:jc w:val="both"/>
                  </w:pPr>
                  <w:r>
                    <w:rPr>
                      <w:rFonts w:ascii="Calibri" w:eastAsia="MS Mincho" w:hAnsi="Calibri" w:cs="Calibri"/>
                      <w:sz w:val="22"/>
                      <w:szCs w:val="22"/>
                    </w:rPr>
                    <w:t>A conselheira Márcia levará na próxima reunião um exemplo de súmu</w:t>
                  </w:r>
                  <w:r>
                    <w:rPr>
                      <w:rFonts w:ascii="Calibri" w:eastAsia="MS Mincho" w:hAnsi="Calibri" w:cs="Calibri"/>
                      <w:sz w:val="22"/>
                      <w:szCs w:val="22"/>
                    </w:rPr>
                    <w:t xml:space="preserve">la com o item ‘Relato de processos’. </w:t>
                  </w:r>
                </w:p>
              </w:tc>
            </w:tr>
          </w:tbl>
          <w:p w:rsidR="00533523" w:rsidRDefault="0053352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="Calibri"/>
              </w:rPr>
            </w:pPr>
          </w:p>
          <w:p w:rsidR="00533523" w:rsidRDefault="0053352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="Calibri"/>
              </w:rPr>
            </w:pPr>
          </w:p>
          <w:p w:rsidR="00533523" w:rsidRDefault="0053352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="Calibri"/>
              </w:rPr>
            </w:pPr>
          </w:p>
          <w:p w:rsidR="00533523" w:rsidRDefault="0053352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="Calibri"/>
              </w:rPr>
            </w:pPr>
          </w:p>
        </w:tc>
      </w:tr>
    </w:tbl>
    <w:p w:rsidR="00533523" w:rsidRDefault="00533523">
      <w:pPr>
        <w:rPr>
          <w:vanish/>
        </w:rPr>
      </w:pPr>
    </w:p>
    <w:tbl>
      <w:tblPr>
        <w:tblW w:w="992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938"/>
      </w:tblGrid>
      <w:tr w:rsidR="00533523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pStyle w:val="PargrafodaLista"/>
              <w:numPr>
                <w:ilvl w:val="0"/>
                <w:numId w:val="1"/>
              </w:num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r>
              <w:rPr>
                <w:rFonts w:ascii="Calibri" w:hAnsi="Calibri" w:cs="Calibri"/>
                <w:b/>
                <w:sz w:val="22"/>
                <w:szCs w:val="22"/>
              </w:rPr>
              <w:t>Perguntas e respostas com a presença da assessoria de comunicação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CED-CAU/RS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r>
              <w:rPr>
                <w:rFonts w:ascii="Calibri" w:hAnsi="Calibri" w:cs="Calibri"/>
                <w:b/>
                <w:sz w:val="22"/>
                <w:szCs w:val="22"/>
              </w:rPr>
              <w:t>Relato de processos (relatório e estatísticas)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CED-CAU/RS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Analise de processos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CED-CAU/RS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533523">
            <w:pPr>
              <w:rPr>
                <w:rFonts w:ascii="Calibri" w:hAnsi="Calibri" w:cs="Calibri"/>
              </w:rPr>
            </w:pPr>
          </w:p>
          <w:p w:rsidR="00533523" w:rsidRDefault="00533523">
            <w:pPr>
              <w:rPr>
                <w:rFonts w:ascii="Calibri" w:hAnsi="Calibri" w:cs="Calibri"/>
              </w:rPr>
            </w:pPr>
          </w:p>
        </w:tc>
      </w:tr>
      <w:tr w:rsidR="00533523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pStyle w:val="PargrafodaLista"/>
              <w:numPr>
                <w:ilvl w:val="0"/>
                <w:numId w:val="1"/>
              </w:num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33523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3" w:rsidRDefault="004943F5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 reunião encerra às 12h30min com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os(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as) participantes acima nominados(as). </w:t>
            </w:r>
          </w:p>
        </w:tc>
      </w:tr>
    </w:tbl>
    <w:p w:rsidR="00533523" w:rsidRDefault="00533523">
      <w:pPr>
        <w:rPr>
          <w:rFonts w:ascii="Calibri" w:hAnsi="Calibri" w:cs="Calibri"/>
          <w:sz w:val="22"/>
          <w:szCs w:val="22"/>
        </w:rPr>
      </w:pPr>
    </w:p>
    <w:p w:rsidR="00533523" w:rsidRDefault="00533523">
      <w:pPr>
        <w:rPr>
          <w:rFonts w:ascii="Calibri" w:hAnsi="Calibri" w:cs="Calibri"/>
          <w:sz w:val="22"/>
          <w:szCs w:val="22"/>
        </w:rPr>
      </w:pPr>
    </w:p>
    <w:p w:rsidR="00533523" w:rsidRDefault="00533523">
      <w:pPr>
        <w:rPr>
          <w:rFonts w:ascii="Calibri" w:hAnsi="Calibri" w:cs="Calibri"/>
          <w:sz w:val="22"/>
          <w:szCs w:val="22"/>
        </w:rPr>
      </w:pPr>
    </w:p>
    <w:p w:rsidR="00533523" w:rsidRDefault="00533523">
      <w:pPr>
        <w:rPr>
          <w:rFonts w:ascii="Calibri" w:hAnsi="Calibri" w:cs="Calibri"/>
          <w:sz w:val="22"/>
          <w:szCs w:val="22"/>
        </w:rPr>
      </w:pPr>
    </w:p>
    <w:p w:rsidR="00533523" w:rsidRDefault="00533523">
      <w:pPr>
        <w:rPr>
          <w:rFonts w:ascii="Calibri" w:hAnsi="Calibri" w:cs="Calibri"/>
          <w:sz w:val="22"/>
          <w:szCs w:val="22"/>
        </w:rPr>
      </w:pPr>
    </w:p>
    <w:p w:rsidR="00533523" w:rsidRDefault="004943F5">
      <w:pPr>
        <w:jc w:val="center"/>
        <w:rPr>
          <w:rFonts w:ascii="Calibri" w:eastAsia="MS Mincho" w:hAnsi="Calibri" w:cs="Calibri"/>
          <w:b/>
          <w:sz w:val="22"/>
          <w:szCs w:val="22"/>
        </w:rPr>
      </w:pPr>
      <w:r>
        <w:rPr>
          <w:rFonts w:ascii="Calibri" w:eastAsia="MS Mincho" w:hAnsi="Calibri" w:cs="Calibri"/>
          <w:b/>
          <w:sz w:val="22"/>
          <w:szCs w:val="22"/>
        </w:rPr>
        <w:t>MÁRCIA ELIZABETH MARTINS</w:t>
      </w:r>
    </w:p>
    <w:p w:rsidR="00533523" w:rsidRDefault="004943F5">
      <w:pPr>
        <w:jc w:val="center"/>
      </w:pPr>
      <w:r>
        <w:rPr>
          <w:rFonts w:ascii="Calibri" w:eastAsia="MS Mincho" w:hAnsi="Calibri" w:cs="Calibri"/>
          <w:sz w:val="22"/>
          <w:szCs w:val="22"/>
        </w:rPr>
        <w:t>Coordenadora da CED-CAU/RS</w:t>
      </w:r>
    </w:p>
    <w:p w:rsidR="00533523" w:rsidRDefault="00533523">
      <w:pPr>
        <w:jc w:val="center"/>
        <w:rPr>
          <w:rFonts w:ascii="Calibri" w:hAnsi="Calibri" w:cs="Calibri"/>
          <w:sz w:val="22"/>
          <w:szCs w:val="22"/>
        </w:rPr>
      </w:pPr>
    </w:p>
    <w:p w:rsidR="00533523" w:rsidRDefault="00533523">
      <w:pPr>
        <w:jc w:val="center"/>
        <w:rPr>
          <w:rFonts w:ascii="Calibri" w:hAnsi="Calibri" w:cs="Calibri"/>
          <w:sz w:val="22"/>
          <w:szCs w:val="22"/>
        </w:rPr>
      </w:pPr>
    </w:p>
    <w:p w:rsidR="00533523" w:rsidRDefault="00533523">
      <w:pPr>
        <w:jc w:val="center"/>
        <w:rPr>
          <w:rFonts w:ascii="Calibri" w:hAnsi="Calibri" w:cs="Calibri"/>
          <w:sz w:val="22"/>
          <w:szCs w:val="22"/>
        </w:rPr>
      </w:pPr>
    </w:p>
    <w:p w:rsidR="00533523" w:rsidRDefault="00533523">
      <w:pPr>
        <w:jc w:val="center"/>
        <w:rPr>
          <w:rFonts w:ascii="Calibri" w:hAnsi="Calibri" w:cs="Calibri"/>
          <w:sz w:val="22"/>
          <w:szCs w:val="22"/>
        </w:rPr>
      </w:pPr>
    </w:p>
    <w:p w:rsidR="00533523" w:rsidRDefault="00533523">
      <w:pPr>
        <w:jc w:val="center"/>
        <w:rPr>
          <w:rFonts w:ascii="Calibri" w:hAnsi="Calibri" w:cs="Calibri"/>
          <w:sz w:val="22"/>
          <w:szCs w:val="22"/>
        </w:rPr>
      </w:pPr>
    </w:p>
    <w:p w:rsidR="00533523" w:rsidRDefault="00533523">
      <w:pPr>
        <w:jc w:val="center"/>
        <w:rPr>
          <w:rFonts w:ascii="Calibri" w:hAnsi="Calibri" w:cs="Calibri"/>
          <w:sz w:val="22"/>
          <w:szCs w:val="22"/>
        </w:rPr>
      </w:pPr>
    </w:p>
    <w:p w:rsidR="00533523" w:rsidRDefault="00533523">
      <w:pPr>
        <w:jc w:val="center"/>
        <w:rPr>
          <w:rFonts w:ascii="Calibri" w:hAnsi="Calibri" w:cs="Calibri"/>
          <w:sz w:val="22"/>
          <w:szCs w:val="22"/>
        </w:rPr>
      </w:pPr>
    </w:p>
    <w:p w:rsidR="00533523" w:rsidRDefault="004943F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Danuza </w:t>
      </w:r>
      <w:proofErr w:type="spellStart"/>
      <w:r>
        <w:rPr>
          <w:rFonts w:ascii="Calibri" w:hAnsi="Calibri" w:cs="Calibri"/>
          <w:b/>
          <w:sz w:val="22"/>
          <w:szCs w:val="22"/>
        </w:rPr>
        <w:t>Daudt</w:t>
      </w:r>
      <w:proofErr w:type="spellEnd"/>
    </w:p>
    <w:p w:rsidR="00533523" w:rsidRDefault="004943F5">
      <w:pPr>
        <w:jc w:val="center"/>
      </w:pPr>
      <w:r>
        <w:rPr>
          <w:rFonts w:ascii="Calibri" w:hAnsi="Calibri" w:cs="Calibri"/>
          <w:sz w:val="22"/>
          <w:szCs w:val="22"/>
        </w:rPr>
        <w:t>Assistente de Atendimento e Fiscalização do CAU/RS</w:t>
      </w:r>
    </w:p>
    <w:sectPr w:rsidR="0053352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987" w:bottom="1701" w:left="1418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43F5">
      <w:r>
        <w:separator/>
      </w:r>
    </w:p>
  </w:endnote>
  <w:endnote w:type="continuationSeparator" w:id="0">
    <w:p w:rsidR="00000000" w:rsidRDefault="0049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DF" w:rsidRDefault="004943F5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370ADF" w:rsidRDefault="004943F5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70ADF" w:rsidRDefault="004943F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4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370ADF" w:rsidRDefault="004943F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DF" w:rsidRDefault="004943F5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370ADF" w:rsidRDefault="004943F5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70ADF" w:rsidRDefault="004943F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370ADF" w:rsidRDefault="004943F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43F5">
      <w:r>
        <w:rPr>
          <w:color w:val="000000"/>
        </w:rPr>
        <w:separator/>
      </w:r>
    </w:p>
  </w:footnote>
  <w:footnote w:type="continuationSeparator" w:id="0">
    <w:p w:rsidR="00000000" w:rsidRDefault="00494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DF" w:rsidRDefault="004943F5">
    <w:pPr>
      <w:pStyle w:val="Cabealho"/>
      <w:tabs>
        <w:tab w:val="clear" w:pos="4320"/>
        <w:tab w:val="clear" w:pos="8640"/>
        <w:tab w:val="left" w:pos="1118"/>
      </w:tabs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-888595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DF" w:rsidRDefault="004943F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-1664</wp:posOffset>
          </wp:positionH>
          <wp:positionV relativeFrom="paragraph">
            <wp:posOffset>-1027813</wp:posOffset>
          </wp:positionV>
          <wp:extent cx="7560003" cy="969958"/>
          <wp:effectExtent l="0" t="0" r="2847" b="1592"/>
          <wp:wrapNone/>
          <wp:docPr id="2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370ADF" w:rsidRDefault="004943F5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F17E8"/>
    <w:multiLevelType w:val="multilevel"/>
    <w:tmpl w:val="9C9A2D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33523"/>
    <w:rsid w:val="004943F5"/>
    <w:rsid w:val="0053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eastAsia="Times New Roman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nfase">
    <w:name w:val="Emphasis"/>
    <w:basedOn w:val="Fontepargpadro"/>
    <w:rPr>
      <w:i/>
      <w:iCs/>
    </w:rPr>
  </w:style>
  <w:style w:type="character" w:customStyle="1" w:styleId="Ttulo3Char">
    <w:name w:val="Título 3 Char"/>
    <w:basedOn w:val="Fontepargpadro"/>
    <w:rPr>
      <w:rFonts w:ascii="Cambria" w:eastAsia="Times New Roman" w:hAnsi="Cambria" w:cs="Times New Roman"/>
      <w:color w:val="243F6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eastAsia="Times New Roman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nfase">
    <w:name w:val="Emphasis"/>
    <w:basedOn w:val="Fontepargpadro"/>
    <w:rPr>
      <w:i/>
      <w:iCs/>
    </w:rPr>
  </w:style>
  <w:style w:type="character" w:customStyle="1" w:styleId="Ttulo3Char">
    <w:name w:val="Título 3 Char"/>
    <w:basedOn w:val="Fontepargpadro"/>
    <w:rPr>
      <w:rFonts w:ascii="Cambria" w:eastAsia="Times New Roman" w:hAnsi="Cambria" w:cs="Times New Roman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2021-11-16T18:20:00Z</cp:lastPrinted>
  <dcterms:created xsi:type="dcterms:W3CDTF">2022-03-15T19:02:00Z</dcterms:created>
  <dcterms:modified xsi:type="dcterms:W3CDTF">2022-03-15T19:02:00Z</dcterms:modified>
</cp:coreProperties>
</file>