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E8343A6" w:rsidR="005B5E87" w:rsidRDefault="009615EB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1.043.407/2020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3032A17" w:rsidR="005B5E87" w:rsidRDefault="0095670F" w:rsidP="009615E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D745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D74518">
              <w:rPr>
                <w:rFonts w:ascii="Times New Roman" w:hAnsi="Times New Roman"/>
              </w:rPr>
              <w:t xml:space="preserve">por comunicação </w:t>
            </w:r>
            <w:r w:rsidR="009615EB">
              <w:rPr>
                <w:rFonts w:ascii="Times New Roman" w:hAnsi="Times New Roman"/>
              </w:rPr>
              <w:t>do TCE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E60FCBC" w:rsidR="005B5E87" w:rsidRDefault="009615EB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6647" w14:textId="0F750890" w:rsidR="009615EB" w:rsidRPr="009615EB" w:rsidRDefault="009615EB" w:rsidP="009615E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F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</w:t>
            </w:r>
            <w:proofErr w:type="spellStart"/>
            <w:r w:rsidRPr="009615EB">
              <w:rPr>
                <w:rFonts w:ascii="Times New Roman" w:hAnsi="Times New Roman"/>
              </w:rPr>
              <w:t>da</w:t>
            </w:r>
            <w:proofErr w:type="spellEnd"/>
            <w:r w:rsidRPr="009615EB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</w:p>
          <w:p w14:paraId="6F83A435" w14:textId="4A44F3E1" w:rsidR="009615EB" w:rsidRPr="009615EB" w:rsidRDefault="009615EB" w:rsidP="009615E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</w:p>
          <w:p w14:paraId="283F6D1B" w14:textId="149C1197" w:rsidR="009615EB" w:rsidRPr="009615EB" w:rsidRDefault="009615EB" w:rsidP="009615E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.</w:t>
            </w:r>
          </w:p>
          <w:p w14:paraId="2449755C" w14:textId="42CBD6C3" w:rsidR="009615EB" w:rsidRPr="009615EB" w:rsidRDefault="009615EB" w:rsidP="009615E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E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e S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de T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LTDA – EPP</w:t>
            </w:r>
          </w:p>
          <w:p w14:paraId="5EFFA23E" w14:textId="566911AB" w:rsidR="005B5E87" w:rsidRPr="00B0059B" w:rsidRDefault="009615EB" w:rsidP="009615E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15EB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&amp; Z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  <w:r w:rsidRPr="009615EB">
              <w:rPr>
                <w:rFonts w:ascii="Times New Roman" w:hAnsi="Times New Roman"/>
              </w:rPr>
              <w:t>LTDA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467AC50F" w:rsidR="005B5E87" w:rsidRDefault="009615E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01A41D6" w:rsidR="00B266D2" w:rsidRDefault="00B266D2" w:rsidP="009615EB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01</w:t>
            </w:r>
            <w:r w:rsidR="009615EB">
              <w:rPr>
                <w:rFonts w:ascii="Times New Roman" w:hAnsi="Times New Roman"/>
                <w:b/>
              </w:rPr>
              <w:t>9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0B524FE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9615EB">
        <w:rPr>
          <w:rFonts w:ascii="Times New Roman" w:hAnsi="Times New Roman"/>
        </w:rPr>
        <w:t>08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295CE951" w:rsidR="00ED77CA" w:rsidRPr="00FE70B5" w:rsidRDefault="001C3D84" w:rsidP="00D74518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9615EB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25A4651" w14:textId="77777777" w:rsidR="009615EB" w:rsidRPr="00937BF9" w:rsidRDefault="009615EB" w:rsidP="00937BF9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>Por acatar a propositura da relatora, no parecer de admissibilidade, no sentido de:</w:t>
      </w:r>
    </w:p>
    <w:p w14:paraId="656EFA76" w14:textId="54BE6642" w:rsidR="009615EB" w:rsidRPr="00937BF9" w:rsidRDefault="00937BF9" w:rsidP="00937BF9">
      <w:pPr>
        <w:pStyle w:val="Default"/>
        <w:spacing w:after="120" w:line="276" w:lineRule="auto"/>
        <w:ind w:left="709"/>
        <w:jc w:val="both"/>
      </w:pPr>
      <w:r w:rsidRPr="00937BF9">
        <w:t xml:space="preserve">1.1. </w:t>
      </w:r>
      <w:r w:rsidR="009615EB" w:rsidRPr="00937BF9">
        <w:t xml:space="preserve">Instaurar processo ético-disciplinar em face do arquiteto e urbanista </w:t>
      </w:r>
      <w:r w:rsidR="009615EB" w:rsidRPr="00937BF9">
        <w:t xml:space="preserve">Fernando Flores da Cunha, </w:t>
      </w:r>
      <w:r w:rsidR="009615EB" w:rsidRPr="00937BF9">
        <w:t>para averiguar supostas</w:t>
      </w:r>
      <w:r w:rsidR="009615EB" w:rsidRPr="00937BF9">
        <w:t xml:space="preserve"> infrações ao inciso X, do art. 18, da Lei nº 12.378/2010 e às regras </w:t>
      </w:r>
      <w:proofErr w:type="spellStart"/>
      <w:r w:rsidR="009615EB" w:rsidRPr="00937BF9">
        <w:t>nºs</w:t>
      </w:r>
      <w:proofErr w:type="spellEnd"/>
      <w:r w:rsidR="009615EB" w:rsidRPr="00937BF9">
        <w:t xml:space="preserve"> 3.2.1 e 3.2.12, 4.2.7 e 5.2.1 do Código de Ética e Disciplina, aprovado pela Resolução CAU/BR nº 52/2013; </w:t>
      </w:r>
    </w:p>
    <w:p w14:paraId="6D8B735B" w14:textId="2765D5A2" w:rsidR="009615EB" w:rsidRPr="00937BF9" w:rsidRDefault="00937BF9" w:rsidP="00937BF9">
      <w:pPr>
        <w:pStyle w:val="Default"/>
        <w:spacing w:after="120" w:line="276" w:lineRule="auto"/>
        <w:ind w:left="709"/>
        <w:jc w:val="both"/>
      </w:pPr>
      <w:r w:rsidRPr="00937BF9">
        <w:t xml:space="preserve">1.2. </w:t>
      </w:r>
      <w:r w:rsidR="009615EB" w:rsidRPr="00937BF9">
        <w:t xml:space="preserve">Instaurar processo ético-disciplinar em face do arquiteto e urbanista Ricardo </w:t>
      </w:r>
      <w:proofErr w:type="spellStart"/>
      <w:r w:rsidR="009615EB" w:rsidRPr="00937BF9">
        <w:t>Langer</w:t>
      </w:r>
      <w:proofErr w:type="spellEnd"/>
      <w:r w:rsidR="009615EB" w:rsidRPr="00937BF9">
        <w:t xml:space="preserve"> </w:t>
      </w:r>
      <w:proofErr w:type="spellStart"/>
      <w:r w:rsidR="009615EB" w:rsidRPr="00937BF9">
        <w:t>Magrisso</w:t>
      </w:r>
      <w:proofErr w:type="spellEnd"/>
      <w:r w:rsidR="009615EB" w:rsidRPr="00937BF9">
        <w:t xml:space="preserve">, para averiguar supostas infrações aos incisos IX e X, do art. 18, da Lei nº 12.378/2010 e às regras </w:t>
      </w:r>
      <w:proofErr w:type="spellStart"/>
      <w:r w:rsidR="009615EB" w:rsidRPr="00937BF9">
        <w:t>nºs</w:t>
      </w:r>
      <w:proofErr w:type="spellEnd"/>
      <w:r w:rsidR="009615EB" w:rsidRPr="00937BF9">
        <w:t xml:space="preserve"> 3.2.1, 3.2.12, 2.2.7 e 3.2.7, do Código de Ética e Disciplina, aprovado pela Resolução CAU/BR nº 52/2013. </w:t>
      </w:r>
    </w:p>
    <w:p w14:paraId="28BF7C18" w14:textId="0E02452A" w:rsidR="009615EB" w:rsidRPr="00937BF9" w:rsidRDefault="00937BF9" w:rsidP="00937BF9">
      <w:pPr>
        <w:pStyle w:val="Default"/>
        <w:spacing w:after="120" w:line="276" w:lineRule="auto"/>
        <w:ind w:left="709"/>
        <w:jc w:val="both"/>
      </w:pPr>
      <w:r w:rsidRPr="00937BF9">
        <w:t>1.3.</w:t>
      </w:r>
      <w:r>
        <w:t xml:space="preserve"> </w:t>
      </w:r>
      <w:r w:rsidR="009615EB" w:rsidRPr="00937BF9">
        <w:t xml:space="preserve">Não </w:t>
      </w:r>
      <w:r w:rsidR="009615EB" w:rsidRPr="00937BF9">
        <w:t>acata</w:t>
      </w:r>
      <w:r w:rsidR="009615EB" w:rsidRPr="00937BF9">
        <w:t xml:space="preserve">r </w:t>
      </w:r>
      <w:r w:rsidR="009615EB" w:rsidRPr="00937BF9">
        <w:t xml:space="preserve">a denúncia em face do arquiteto e urbanista Roberto </w:t>
      </w:r>
      <w:proofErr w:type="spellStart"/>
      <w:r w:rsidR="009615EB" w:rsidRPr="00937BF9">
        <w:t>Hentschke</w:t>
      </w:r>
      <w:proofErr w:type="spellEnd"/>
      <w:r w:rsidR="009615EB" w:rsidRPr="00937BF9">
        <w:t xml:space="preserve">, tendo em vista </w:t>
      </w:r>
      <w:r w:rsidR="009615EB" w:rsidRPr="00937BF9">
        <w:t xml:space="preserve">que não foi localizada </w:t>
      </w:r>
      <w:r w:rsidR="009615EB" w:rsidRPr="00937BF9">
        <w:t>qualquer comprovação de participação do denunciado nas atividades técnicas das obras das escolas objetos da denúncia</w:t>
      </w:r>
      <w:r w:rsidR="009615EB" w:rsidRPr="00937BF9">
        <w:t>, nos elementos juntados aos autos.</w:t>
      </w:r>
      <w:bookmarkStart w:id="0" w:name="_GoBack"/>
      <w:bookmarkEnd w:id="0"/>
    </w:p>
    <w:p w14:paraId="33B1E592" w14:textId="003210A7" w:rsidR="009615EB" w:rsidRPr="00937BF9" w:rsidRDefault="00937BF9" w:rsidP="00937BF9">
      <w:pPr>
        <w:pStyle w:val="Default"/>
        <w:spacing w:after="120" w:line="276" w:lineRule="auto"/>
        <w:ind w:left="709"/>
        <w:jc w:val="both"/>
      </w:pPr>
      <w:r w:rsidRPr="00937BF9">
        <w:lastRenderedPageBreak/>
        <w:t xml:space="preserve">1.4. </w:t>
      </w:r>
      <w:r w:rsidR="009615EB" w:rsidRPr="00937BF9">
        <w:t xml:space="preserve">Não acatar a denúncia em face </w:t>
      </w:r>
      <w:r w:rsidR="009615EB" w:rsidRPr="00937BF9">
        <w:t xml:space="preserve">das </w:t>
      </w:r>
      <w:r w:rsidR="009615EB" w:rsidRPr="00937BF9">
        <w:t xml:space="preserve">empresas Frame Engenharia e Serviços de Telemática LTDA-EPP e </w:t>
      </w:r>
      <w:proofErr w:type="spellStart"/>
      <w:r w:rsidR="009615EB" w:rsidRPr="00937BF9">
        <w:t>Minussi</w:t>
      </w:r>
      <w:proofErr w:type="spellEnd"/>
      <w:r w:rsidR="009615EB" w:rsidRPr="00937BF9">
        <w:t xml:space="preserve"> &amp; </w:t>
      </w:r>
      <w:proofErr w:type="spellStart"/>
      <w:r w:rsidR="009615EB" w:rsidRPr="00937BF9">
        <w:t>Zannini</w:t>
      </w:r>
      <w:proofErr w:type="spellEnd"/>
      <w:r w:rsidR="009615EB" w:rsidRPr="00937BF9">
        <w:t xml:space="preserve"> Construtora LTDA, por não terem sido encontrados indícios de infração aos aspectos definidos no art. 1º da Resolução CAU/BR nº 154/2017.</w:t>
      </w:r>
    </w:p>
    <w:p w14:paraId="2F06F8DA" w14:textId="418FBB63" w:rsidR="00D74518" w:rsidRPr="00937BF9" w:rsidRDefault="00937BF9" w:rsidP="00937BF9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 </w:t>
      </w:r>
      <w:r w:rsidR="009615EB" w:rsidRPr="00937BF9">
        <w:rPr>
          <w:rFonts w:ascii="Times New Roman" w:hAnsi="Times New Roman"/>
        </w:rPr>
        <w:t>subdividi</w:t>
      </w:r>
      <w:r w:rsidRPr="00937BF9">
        <w:rPr>
          <w:rFonts w:ascii="Times New Roman" w:hAnsi="Times New Roman"/>
        </w:rPr>
        <w:t>r</w:t>
      </w:r>
      <w:r w:rsidR="009615EB" w:rsidRPr="00937BF9">
        <w:rPr>
          <w:rFonts w:ascii="Times New Roman" w:hAnsi="Times New Roman"/>
        </w:rPr>
        <w:t xml:space="preserve"> </w:t>
      </w:r>
      <w:r w:rsidRPr="00937BF9">
        <w:rPr>
          <w:rFonts w:ascii="Times New Roman" w:hAnsi="Times New Roman"/>
        </w:rPr>
        <w:t>o</w:t>
      </w:r>
      <w:r w:rsidR="009615EB" w:rsidRPr="00937BF9">
        <w:rPr>
          <w:rFonts w:ascii="Times New Roman" w:hAnsi="Times New Roman"/>
        </w:rPr>
        <w:t xml:space="preserve"> protocolo </w:t>
      </w:r>
      <w:r w:rsidRPr="00937BF9">
        <w:rPr>
          <w:rFonts w:ascii="Times New Roman" w:hAnsi="Times New Roman"/>
        </w:rPr>
        <w:t xml:space="preserve">nº 1.043.407/2020 </w:t>
      </w:r>
      <w:r w:rsidR="009615EB" w:rsidRPr="00937BF9">
        <w:rPr>
          <w:rFonts w:ascii="Times New Roman" w:hAnsi="Times New Roman"/>
        </w:rPr>
        <w:t>em um processo distinto para cada denunciado</w:t>
      </w:r>
      <w:r w:rsidRPr="00937BF9">
        <w:rPr>
          <w:rFonts w:ascii="Times New Roman" w:hAnsi="Times New Roman"/>
        </w:rPr>
        <w:t>, mantendo cópia dos autos em ambos os processos até este ato de juízo de admissibilidade;</w:t>
      </w:r>
    </w:p>
    <w:p w14:paraId="00430514" w14:textId="4B0F6A85" w:rsidR="00B0059B" w:rsidRPr="00937BF9" w:rsidRDefault="00937BF9" w:rsidP="00937BF9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>Por i</w:t>
      </w:r>
      <w:r w:rsidR="00D74518" w:rsidRPr="00937BF9">
        <w:rPr>
          <w:rFonts w:ascii="Times New Roman" w:hAnsi="Times New Roman"/>
        </w:rPr>
        <w:t xml:space="preserve">ntimar </w:t>
      </w:r>
      <w:r w:rsidRPr="00937BF9">
        <w:rPr>
          <w:rFonts w:ascii="Times New Roman" w:hAnsi="Times New Roman"/>
        </w:rPr>
        <w:t>os denunciados</w:t>
      </w:r>
      <w:r w:rsidR="00B0059B" w:rsidRPr="00937BF9">
        <w:rPr>
          <w:rFonts w:ascii="Times New Roman" w:hAnsi="Times New Roman"/>
        </w:rPr>
        <w:t xml:space="preserve"> </w:t>
      </w:r>
      <w:r w:rsidRPr="00937BF9">
        <w:rPr>
          <w:rFonts w:ascii="Times New Roman" w:hAnsi="Times New Roman"/>
        </w:rPr>
        <w:t xml:space="preserve">indicados nos itens 1.1 e 1.2 </w:t>
      </w:r>
      <w:r w:rsidR="00B0059B" w:rsidRPr="00937BF9">
        <w:rPr>
          <w:rFonts w:ascii="Times New Roman" w:hAnsi="Times New Roman"/>
        </w:rPr>
        <w:t>da instauração do processo ético disciplinar, nos termos do art. 23 da Resolução CAU/BR n° 143/2017</w:t>
      </w:r>
      <w:r w:rsidR="0095670F" w:rsidRPr="00937BF9">
        <w:rPr>
          <w:rFonts w:ascii="Times New Roman" w:hAnsi="Times New Roman"/>
        </w:rPr>
        <w:t>, abrindo-lhe o prazo de 30 (trinta) dias para defesa</w:t>
      </w:r>
      <w:r w:rsidR="008B5E25" w:rsidRPr="00937BF9">
        <w:rPr>
          <w:rFonts w:ascii="Times New Roman" w:hAnsi="Times New Roman"/>
        </w:rPr>
        <w:t>.</w:t>
      </w:r>
    </w:p>
    <w:p w14:paraId="2B709857" w14:textId="2DA24239" w:rsidR="00B0059B" w:rsidRPr="00937BF9" w:rsidRDefault="00937BF9" w:rsidP="00302E4A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 oficiar </w:t>
      </w:r>
      <w:r w:rsidRPr="00937BF9">
        <w:rPr>
          <w:rFonts w:ascii="Times New Roman" w:hAnsi="Times New Roman"/>
        </w:rPr>
        <w:t xml:space="preserve">os denunciados </w:t>
      </w:r>
      <w:r w:rsidRPr="00937BF9">
        <w:rPr>
          <w:rFonts w:ascii="Times New Roman" w:hAnsi="Times New Roman"/>
        </w:rPr>
        <w:t xml:space="preserve">indicados nos itens 1.3 e 1.4 desta decisão. </w:t>
      </w:r>
    </w:p>
    <w:p w14:paraId="1FA4D3F1" w14:textId="11638BE3" w:rsidR="00FE70B5" w:rsidRPr="00937BF9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4C7A3D42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937BF9" w:rsidRPr="00937BF9">
        <w:rPr>
          <w:rFonts w:ascii="Times New Roman" w:hAnsi="Times New Roman"/>
        </w:rPr>
        <w:t>08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6078AE59" w:rsidR="008B5E25" w:rsidRPr="00937BF9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>Acompanhada dos votos das conselheiras Gislaine Vargas Saibro</w:t>
      </w:r>
      <w:r w:rsidR="00937BF9" w:rsidRPr="00937BF9">
        <w:rPr>
          <w:rFonts w:ascii="Times New Roman" w:hAnsi="Times New Roman"/>
        </w:rPr>
        <w:t xml:space="preserve">, Márcia Elizabeth Martins </w:t>
      </w:r>
      <w:r w:rsidRPr="00937BF9">
        <w:rPr>
          <w:rFonts w:ascii="Times New Roman" w:hAnsi="Times New Roman"/>
        </w:rPr>
        <w:t>e Silvia Monteiro Barakat e do conselheiro Maurício Zuchetti, atesto a veracidade das informações aqui apresentadas.</w:t>
      </w:r>
      <w:r w:rsidRPr="00937BF9">
        <w:rPr>
          <w:rFonts w:ascii="Times New Roman" w:hAnsi="Times New Roman"/>
        </w:rPr>
        <w:cr/>
      </w:r>
    </w:p>
    <w:p w14:paraId="0C51EE4A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Pr="00937BF9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37BF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5E25"/>
    <w:rsid w:val="00905EC1"/>
    <w:rsid w:val="00923443"/>
    <w:rsid w:val="00937BF9"/>
    <w:rsid w:val="0095670F"/>
    <w:rsid w:val="009615EB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ED65DC"/>
    <w:rsid w:val="00ED77CA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A2BB-214D-4C45-9722-E910E843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2021-04-12T14:39:00Z</dcterms:created>
  <dcterms:modified xsi:type="dcterms:W3CDTF">2021-04-12T14:58:00Z</dcterms:modified>
</cp:coreProperties>
</file>