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240BC5" w:rsidRPr="00812EDA" w:rsidTr="00240BC5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BC5" w:rsidRPr="00812EDA" w:rsidRDefault="00240BC5" w:rsidP="00240B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2ED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240BC5" w:rsidRPr="00E56BA0" w:rsidRDefault="00E56BA0" w:rsidP="00325B0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E56BA0">
              <w:rPr>
                <w:rFonts w:ascii="Calibri" w:hAnsi="Calibri" w:cs="Calibri"/>
                <w:sz w:val="22"/>
                <w:szCs w:val="22"/>
              </w:rPr>
              <w:t>Protocolo SICCAU nº 1532982/2022</w:t>
            </w:r>
          </w:p>
        </w:tc>
      </w:tr>
      <w:tr w:rsidR="00240BC5" w:rsidRPr="00812EDA" w:rsidTr="00240BC5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40BC5" w:rsidRPr="00812EDA" w:rsidRDefault="00240BC5" w:rsidP="00240B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2ED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40BC5" w:rsidRPr="00E56BA0" w:rsidRDefault="00FC15CA" w:rsidP="006965EE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E56BA0">
              <w:rPr>
                <w:rFonts w:ascii="Calibri" w:hAnsi="Calibri" w:cs="Calibri"/>
                <w:sz w:val="22"/>
                <w:szCs w:val="22"/>
              </w:rPr>
              <w:t>Presidente</w:t>
            </w:r>
            <w:r w:rsidR="006965EE" w:rsidRPr="00E56BA0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="00240BC5" w:rsidRPr="00E56BA0">
              <w:rPr>
                <w:rFonts w:ascii="Calibri" w:hAnsi="Calibri" w:cs="Calibri"/>
                <w:sz w:val="22"/>
                <w:szCs w:val="22"/>
              </w:rPr>
              <w:t>CAU/RS</w:t>
            </w:r>
          </w:p>
        </w:tc>
      </w:tr>
      <w:tr w:rsidR="00BD1F54" w:rsidRPr="00812EDA" w:rsidTr="00240BC5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12EDA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12ED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E56BA0" w:rsidRDefault="00380E2B" w:rsidP="00812EDA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E56BA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Correção n</w:t>
            </w:r>
            <w:r w:rsidRPr="00E56BA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</w:t>
            </w:r>
            <w:r w:rsidRPr="00E56BA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s</w:t>
            </w:r>
            <w:r w:rsidRPr="00E56BA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Pr="00E56BA0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Regras de Promoções do Plano de Cargos e Salários do CAU/RS</w:t>
            </w:r>
          </w:p>
        </w:tc>
      </w:tr>
      <w:tr w:rsidR="00BD1F54" w:rsidRPr="00812EDA" w:rsidTr="00240BC5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812EDA" w:rsidRDefault="00631CE9" w:rsidP="005222D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12ED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222DD">
              <w:rPr>
                <w:rFonts w:asciiTheme="minorHAnsi" w:hAnsiTheme="minorHAnsi" w:cstheme="minorHAnsi"/>
                <w:b/>
              </w:rPr>
              <w:t>024</w:t>
            </w:r>
            <w:r w:rsidRPr="00812EDA">
              <w:rPr>
                <w:rFonts w:asciiTheme="minorHAnsi" w:hAnsiTheme="minorHAnsi" w:cstheme="minorHAnsi"/>
                <w:b/>
              </w:rPr>
              <w:t>/202</w:t>
            </w:r>
            <w:r w:rsidR="002A6FB6" w:rsidRPr="00812EDA">
              <w:rPr>
                <w:rFonts w:asciiTheme="minorHAnsi" w:hAnsiTheme="minorHAnsi" w:cstheme="minorHAnsi"/>
                <w:b/>
              </w:rPr>
              <w:t>2</w:t>
            </w:r>
            <w:r w:rsidRPr="00812EDA">
              <w:rPr>
                <w:rFonts w:asciiTheme="minorHAnsi" w:hAnsiTheme="minorHAnsi" w:cstheme="minorHAnsi"/>
                <w:b/>
              </w:rPr>
              <w:t xml:space="preserve"> – CONSELHO DIRETOR</w:t>
            </w:r>
          </w:p>
        </w:tc>
      </w:tr>
    </w:tbl>
    <w:p w:rsidR="00A41D6C" w:rsidRPr="00812EDA" w:rsidRDefault="00A41D6C" w:rsidP="009834E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40BC5" w:rsidRPr="00E56BA0" w:rsidRDefault="006F67F1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6BA0">
        <w:rPr>
          <w:rFonts w:asciiTheme="minorHAnsi" w:hAnsiTheme="minorHAnsi" w:cstheme="minorHAnsi"/>
          <w:sz w:val="22"/>
          <w:szCs w:val="22"/>
        </w:rPr>
        <w:t xml:space="preserve">O Conselho Diretor do Conselho de Arquitetura e Urbanismo do Rio Grande do Sul, reunido </w:t>
      </w:r>
      <w:r w:rsidR="007C0185" w:rsidRPr="00E56BA0">
        <w:rPr>
          <w:rFonts w:asciiTheme="minorHAnsi" w:hAnsiTheme="minorHAnsi" w:cstheme="minorHAnsi"/>
          <w:sz w:val="22"/>
          <w:szCs w:val="22"/>
        </w:rPr>
        <w:t xml:space="preserve">através de sistema de deliberação remota, </w:t>
      </w:r>
      <w:r w:rsidRPr="00E56BA0">
        <w:rPr>
          <w:rFonts w:asciiTheme="minorHAnsi" w:hAnsiTheme="minorHAnsi" w:cstheme="minorHAnsi"/>
          <w:sz w:val="22"/>
          <w:szCs w:val="22"/>
        </w:rPr>
        <w:t xml:space="preserve">no dia </w:t>
      </w:r>
      <w:r w:rsidR="007C0185" w:rsidRPr="00E56BA0">
        <w:rPr>
          <w:rFonts w:asciiTheme="minorHAnsi" w:hAnsiTheme="minorHAnsi" w:cstheme="minorHAnsi"/>
          <w:sz w:val="22"/>
          <w:szCs w:val="22"/>
        </w:rPr>
        <w:t>13</w:t>
      </w:r>
      <w:r w:rsidRPr="00E56BA0">
        <w:rPr>
          <w:rFonts w:asciiTheme="minorHAnsi" w:hAnsiTheme="minorHAnsi" w:cstheme="minorHAnsi"/>
          <w:sz w:val="22"/>
          <w:szCs w:val="22"/>
        </w:rPr>
        <w:t xml:space="preserve"> de </w:t>
      </w:r>
      <w:r w:rsidR="007C0185" w:rsidRPr="00E56BA0">
        <w:rPr>
          <w:rFonts w:asciiTheme="minorHAnsi" w:hAnsiTheme="minorHAnsi" w:cstheme="minorHAnsi"/>
          <w:sz w:val="22"/>
          <w:szCs w:val="22"/>
        </w:rPr>
        <w:t>maio</w:t>
      </w:r>
      <w:r w:rsidRPr="00E56BA0">
        <w:rPr>
          <w:rFonts w:asciiTheme="minorHAnsi" w:hAnsiTheme="minorHAnsi" w:cstheme="minorHAnsi"/>
          <w:sz w:val="22"/>
          <w:szCs w:val="22"/>
        </w:rPr>
        <w:t xml:space="preserve"> 2022, no uso das competências que lhe conferem o Regimento Interno, após análise do assunto em epígrafe, e</w:t>
      </w:r>
    </w:p>
    <w:p w:rsidR="006F67F1" w:rsidRPr="00E56BA0" w:rsidRDefault="006F67F1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que o Parecer Jurídico nº 112/2018, o Parecer Jurídico nº 06/2021, bem como o Parecer Jurídico da Assessoria Jurídica Externa explicitam que o artigo 37, inciso XIV, da Constituição Federal dispõe que os acréscimos pecuniários percebidos por servidores públicos não poderão ser computados nem acumulados para fins de con</w:t>
      </w:r>
      <w:r w:rsidRPr="00E56BA0">
        <w:rPr>
          <w:rFonts w:ascii="Calibri" w:hAnsi="Calibri" w:cs="Calibri"/>
          <w:sz w:val="22"/>
          <w:szCs w:val="22"/>
        </w:rPr>
        <w:t>cessão de acréscimos ulteriores;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que os citados pareceres jurídicos trazem jurisprudência do Tribunal Regional do Trabalho que vedam o denominado bis in idem, efeito cascata ou efeito repique (art. 37, XIV da CF/88</w:t>
      </w:r>
      <w:r w:rsidRPr="00E56BA0">
        <w:rPr>
          <w:rFonts w:ascii="Calibri" w:hAnsi="Calibri" w:cs="Calibri"/>
          <w:sz w:val="22"/>
          <w:szCs w:val="22"/>
        </w:rPr>
        <w:t>);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 xml:space="preserve">Considerando que a gratificação, a promoção ou o adicional não podem ter como base de cálculo o vencimento básico acrescido de outras vantagens remuneratórias, mesmo que incorporadas, de forma a evitar o indesejado </w:t>
      </w:r>
      <w:r w:rsidRPr="00E56BA0">
        <w:rPr>
          <w:rFonts w:ascii="Calibri" w:hAnsi="Calibri" w:cs="Calibri"/>
          <w:i/>
          <w:sz w:val="22"/>
          <w:szCs w:val="22"/>
        </w:rPr>
        <w:t>bis in idem</w:t>
      </w:r>
      <w:r w:rsidRPr="00E56BA0">
        <w:rPr>
          <w:rFonts w:ascii="Calibri" w:hAnsi="Calibri" w:cs="Calibri"/>
          <w:sz w:val="22"/>
          <w:szCs w:val="22"/>
        </w:rPr>
        <w:t>, efeito cascata ou efeito</w:t>
      </w:r>
      <w:r w:rsidRPr="00E56BA0">
        <w:rPr>
          <w:rFonts w:ascii="Calibri" w:hAnsi="Calibri" w:cs="Calibri"/>
          <w:sz w:val="22"/>
          <w:szCs w:val="22"/>
        </w:rPr>
        <w:t xml:space="preserve"> repique;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b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 xml:space="preserve">Considerando que o ACORDO COLETIVO DE TRABALHO 2020/2022, realizado entre o CAU/RS e o  SINSERCON, sob o número de registro no MTE: RS003202/2020 , dispõe, na sua CLÁUSULA DÉCIMA OITAVA – que o CAU/RS aplicará desenvolvimento na carreira por merecimento e por antiguidade, promoções, salários, cargos e carreira conforme previsto no Plano de Cargos e Salários do CAU/RS, </w:t>
      </w:r>
      <w:r w:rsidRPr="00E56BA0">
        <w:rPr>
          <w:rFonts w:ascii="Calibri" w:hAnsi="Calibri" w:cs="Calibri"/>
          <w:b/>
          <w:sz w:val="22"/>
          <w:szCs w:val="22"/>
        </w:rPr>
        <w:t>respeitando sempre ao disposto no artigo 37, inciso XIV da Constituição Federal, o qual determina que “os acréscimos pecuniários percebidos por servidor público não serão computados nem acumulados para fins de conce</w:t>
      </w:r>
      <w:r w:rsidRPr="00E56BA0">
        <w:rPr>
          <w:rFonts w:ascii="Calibri" w:hAnsi="Calibri" w:cs="Calibri"/>
          <w:b/>
          <w:sz w:val="22"/>
          <w:szCs w:val="22"/>
        </w:rPr>
        <w:t>ssão de acréscimos ulteriores ”;</w:t>
      </w:r>
    </w:p>
    <w:p w:rsidR="00380E2B" w:rsidRPr="00E56BA0" w:rsidRDefault="00380E2B" w:rsidP="00380E2B">
      <w:pPr>
        <w:jc w:val="both"/>
        <w:rPr>
          <w:rFonts w:ascii="Calibri" w:hAnsi="Calibri" w:cs="Calibri"/>
          <w:b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a necessidade legal prevista na CLT de alternância entre promoções por antiguidade e merecimento, devendo-se aplicar, a cada 3 (três) anos, ou a promoção por antiguidade, ou a promoção por mer</w:t>
      </w:r>
      <w:r w:rsidRPr="00E56BA0">
        <w:rPr>
          <w:rFonts w:ascii="Calibri" w:hAnsi="Calibri" w:cs="Calibri"/>
          <w:sz w:val="22"/>
          <w:szCs w:val="22"/>
        </w:rPr>
        <w:t>ecimento, jamais concomitantes;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que as promoções, seja por antiguidade, seja por merecimento, devem sempre incidir sobre o salário básico, e não sobre o salário básico acrescido de promoção anterior</w:t>
      </w:r>
      <w:r w:rsidRPr="00E56BA0">
        <w:rPr>
          <w:rFonts w:ascii="Calibri" w:hAnsi="Calibri" w:cs="Calibri"/>
          <w:sz w:val="22"/>
          <w:szCs w:val="22"/>
        </w:rPr>
        <w:t>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que o único percentual que faz acrescer o salário básico deve ser o reajuste salarial anual, com base nos índices de reajustes aplicáveis na data base, recomendando-se que no contracheque de cada empregado (a) público estejam discriminadas as promoções, di</w:t>
      </w:r>
      <w:r w:rsidRPr="00E56BA0">
        <w:rPr>
          <w:rFonts w:ascii="Calibri" w:hAnsi="Calibri" w:cs="Calibri"/>
          <w:sz w:val="22"/>
          <w:szCs w:val="22"/>
        </w:rPr>
        <w:t>stinguindo-as do salário básico;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 xml:space="preserve">Considerando que o inciso XV do art. 37 da Constituição Federal estabelece a regra de irredutibilidade dos vencimentos, nos seguintes termos: “XV - o subsídio e os vencimentos dos ocupantes de cargos e empregos públicos são irredutíveis, ressalvado o disposto nos incisos XI e XIV deste artigo e nos arts. 39, § 4º, 150, II, 153, III, e 153, § 2º, </w:t>
      </w:r>
      <w:r w:rsidRPr="00E56BA0">
        <w:rPr>
          <w:rFonts w:ascii="Calibri" w:hAnsi="Calibri" w:cs="Calibri"/>
          <w:sz w:val="22"/>
          <w:szCs w:val="22"/>
        </w:rPr>
        <w:t>I; ”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Considerando que o princípio da irredutibilidade salarial impede que o CAU/RS altere o que já está consolidado como salá</w:t>
      </w:r>
      <w:r w:rsidRPr="00E56BA0">
        <w:rPr>
          <w:rFonts w:ascii="Calibri" w:hAnsi="Calibri" w:cs="Calibri"/>
          <w:sz w:val="22"/>
          <w:szCs w:val="22"/>
        </w:rPr>
        <w:t>rio básico do empregado público;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E56BA0">
        <w:rPr>
          <w:rFonts w:ascii="Calibri" w:hAnsi="Calibri" w:cs="Calibri"/>
          <w:sz w:val="22"/>
          <w:szCs w:val="22"/>
          <w:lang w:eastAsia="pt-BR"/>
        </w:rPr>
        <w:lastRenderedPageBreak/>
        <w:t xml:space="preserve">Considerando que a jurisprudência do Supremo Tribunal Federal </w:t>
      </w:r>
      <w:r w:rsidRPr="00E56BA0">
        <w:rPr>
          <w:rFonts w:ascii="Calibri" w:hAnsi="Calibri" w:cs="Calibri"/>
          <w:sz w:val="22"/>
          <w:szCs w:val="22"/>
          <w:lang w:eastAsia="pt-BR"/>
        </w:rPr>
        <w:t>se firmou</w:t>
      </w:r>
      <w:r w:rsidRPr="00E56BA0">
        <w:rPr>
          <w:rFonts w:ascii="Calibri" w:hAnsi="Calibri" w:cs="Calibri"/>
          <w:sz w:val="22"/>
          <w:szCs w:val="22"/>
          <w:lang w:eastAsia="pt-BR"/>
        </w:rPr>
        <w:t xml:space="preserve"> no sentido de que não há direito adquirido a regime jurídico e à fórmula de composição da remuneração dos servidores públicos, sendo, </w:t>
      </w:r>
      <w:r w:rsidRPr="00E56BA0">
        <w:rPr>
          <w:rFonts w:ascii="Calibri" w:hAnsi="Calibri" w:cs="Calibri"/>
          <w:sz w:val="22"/>
          <w:szCs w:val="22"/>
          <w:lang w:eastAsia="pt-BR"/>
        </w:rPr>
        <w:t>portanto, possível</w:t>
      </w:r>
      <w:r w:rsidRPr="00E56BA0">
        <w:rPr>
          <w:rFonts w:ascii="Calibri" w:hAnsi="Calibri" w:cs="Calibri"/>
          <w:sz w:val="22"/>
          <w:szCs w:val="22"/>
          <w:lang w:eastAsia="pt-BR"/>
        </w:rPr>
        <w:t xml:space="preserve"> a alteração na forma de cálculo de remuneração sem que </w:t>
      </w:r>
      <w:r w:rsidRPr="00E56BA0">
        <w:rPr>
          <w:rFonts w:ascii="Calibri" w:hAnsi="Calibri" w:cs="Calibri"/>
          <w:sz w:val="22"/>
          <w:szCs w:val="22"/>
          <w:lang w:eastAsia="pt-BR"/>
        </w:rPr>
        <w:t>isso afronte</w:t>
      </w:r>
      <w:r w:rsidRPr="00E56BA0">
        <w:rPr>
          <w:rFonts w:ascii="Calibri" w:hAnsi="Calibri" w:cs="Calibri"/>
          <w:sz w:val="22"/>
          <w:szCs w:val="22"/>
          <w:lang w:eastAsia="pt-BR"/>
        </w:rPr>
        <w:t xml:space="preserve"> a Constituição da República, desde que ela não importe em diminuição da remuneração recebida pelo servidor (RE 599.411-AgR, de minha relatoria, Primeira Turma, DJe 20.11.2009)</w:t>
      </w:r>
      <w:r w:rsidRPr="00E56BA0">
        <w:rPr>
          <w:rFonts w:ascii="Calibri" w:hAnsi="Calibri" w:cs="Calibri"/>
          <w:sz w:val="22"/>
          <w:szCs w:val="22"/>
          <w:lang w:eastAsia="pt-BR"/>
        </w:rPr>
        <w:t>;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E56BA0">
        <w:rPr>
          <w:rFonts w:ascii="Calibri" w:hAnsi="Calibri" w:cs="Calibri"/>
          <w:sz w:val="22"/>
          <w:szCs w:val="22"/>
          <w:lang w:eastAsia="pt-BR"/>
        </w:rPr>
        <w:t xml:space="preserve">Considerando-se que a expectativa de direito muito se distancia do conceito de direito adquirido, pois este "é a consequência de um fato aquisitivo que se realizou inteiro, a expectativa de direito se traduz uma simples esperança, resulta de um fato aquisitivo incompleto” (Caio Mário da Silva Pereira, Instituições de Direito Civil, </w:t>
      </w:r>
      <w:r w:rsidRPr="00E56BA0">
        <w:rPr>
          <w:rFonts w:ascii="Calibri" w:hAnsi="Calibri" w:cs="Calibri"/>
          <w:sz w:val="22"/>
          <w:szCs w:val="22"/>
          <w:lang w:eastAsia="pt-BR"/>
        </w:rPr>
        <w:t>21 eds.</w:t>
      </w:r>
      <w:r w:rsidRPr="00E56BA0">
        <w:rPr>
          <w:rFonts w:ascii="Calibri" w:hAnsi="Calibri" w:cs="Calibri"/>
          <w:sz w:val="22"/>
          <w:szCs w:val="22"/>
          <w:lang w:eastAsia="pt-BR"/>
        </w:rPr>
        <w:t>, Editora Forense, Vol. I, p. 149).</w:t>
      </w:r>
    </w:p>
    <w:p w:rsidR="00380E2B" w:rsidRPr="00E56BA0" w:rsidRDefault="00380E2B" w:rsidP="00380E2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240BC5" w:rsidRPr="00E56BA0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56BA0">
        <w:rPr>
          <w:rFonts w:asciiTheme="minorHAnsi" w:hAnsiTheme="minorHAnsi" w:cstheme="minorHAnsi"/>
          <w:b/>
          <w:sz w:val="22"/>
          <w:szCs w:val="22"/>
        </w:rPr>
        <w:t>DELIBEROU</w:t>
      </w:r>
      <w:r w:rsidR="00F30E13" w:rsidRPr="00E56BA0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E56BA0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240BC5" w:rsidRPr="00E56BA0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80E2B" w:rsidRPr="00E56BA0" w:rsidRDefault="00380E2B" w:rsidP="00380E2B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Theme="minorHAnsi" w:hAnsiTheme="minorHAnsi" w:cstheme="minorHAnsi"/>
          <w:sz w:val="22"/>
          <w:szCs w:val="22"/>
        </w:rPr>
        <w:t>Propor ao plenário que,</w:t>
      </w:r>
      <w:r w:rsidRPr="00E56BA0">
        <w:rPr>
          <w:rFonts w:ascii="Calibri" w:hAnsi="Calibri" w:cs="Calibri"/>
          <w:sz w:val="22"/>
          <w:szCs w:val="22"/>
        </w:rPr>
        <w:t xml:space="preserve"> a </w:t>
      </w:r>
      <w:r w:rsidRPr="00E56BA0">
        <w:rPr>
          <w:rFonts w:ascii="Calibri" w:hAnsi="Calibri" w:cs="Calibri"/>
          <w:sz w:val="22"/>
          <w:szCs w:val="22"/>
        </w:rPr>
        <w:t xml:space="preserve">partir </w:t>
      </w:r>
      <w:r w:rsidRPr="00E56BA0">
        <w:rPr>
          <w:rFonts w:ascii="Calibri" w:hAnsi="Calibri" w:cs="Calibri"/>
          <w:sz w:val="22"/>
          <w:szCs w:val="22"/>
        </w:rPr>
        <w:t xml:space="preserve">de 1º de junho de 2022, altere-se o Plano de Cargos e Salários do CAU/RS, no sentido de que </w:t>
      </w:r>
      <w:r w:rsidRPr="00E56BA0">
        <w:rPr>
          <w:rFonts w:ascii="Calibri" w:hAnsi="Calibri" w:cs="Calibri"/>
          <w:sz w:val="22"/>
          <w:szCs w:val="22"/>
        </w:rPr>
        <w:t xml:space="preserve">quaisquer gratificações, promoções ou adicionais não poderão ter como base de cálculo o vencimento básico acrescido de outras vantagens, promoções, gratificações ou adicionais, de forma a evitar o indesejado </w:t>
      </w:r>
      <w:r w:rsidRPr="00E56BA0">
        <w:rPr>
          <w:rFonts w:ascii="Calibri" w:hAnsi="Calibri" w:cs="Calibri"/>
          <w:i/>
          <w:sz w:val="22"/>
          <w:szCs w:val="22"/>
        </w:rPr>
        <w:t>bis in idem</w:t>
      </w:r>
      <w:r w:rsidRPr="00E56BA0">
        <w:rPr>
          <w:rFonts w:ascii="Calibri" w:hAnsi="Calibri" w:cs="Calibri"/>
          <w:sz w:val="22"/>
          <w:szCs w:val="22"/>
        </w:rPr>
        <w:t>, efeito cascata, efeito repique</w:t>
      </w:r>
      <w:r w:rsidRPr="00E56BA0">
        <w:rPr>
          <w:rFonts w:ascii="Calibri" w:hAnsi="Calibri" w:cs="Calibri"/>
          <w:sz w:val="22"/>
          <w:szCs w:val="22"/>
        </w:rPr>
        <w:t>;</w:t>
      </w:r>
    </w:p>
    <w:p w:rsidR="00380E2B" w:rsidRPr="00E56BA0" w:rsidRDefault="00380E2B" w:rsidP="00380E2B">
      <w:pPr>
        <w:pStyle w:val="PargrafodaLista"/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380E2B" w:rsidRPr="00E56BA0" w:rsidRDefault="00380E2B" w:rsidP="00380E2B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 xml:space="preserve">Propor </w:t>
      </w:r>
      <w:r w:rsidR="005222DD" w:rsidRPr="00E56BA0">
        <w:rPr>
          <w:rFonts w:ascii="Calibri" w:hAnsi="Calibri" w:cs="Calibri"/>
          <w:sz w:val="22"/>
          <w:szCs w:val="22"/>
        </w:rPr>
        <w:t>alteração n</w:t>
      </w:r>
      <w:r w:rsidRPr="00E56BA0">
        <w:rPr>
          <w:rFonts w:ascii="Calibri" w:hAnsi="Calibri" w:cs="Calibri"/>
          <w:sz w:val="22"/>
          <w:szCs w:val="22"/>
        </w:rPr>
        <w:t xml:space="preserve">a </w:t>
      </w:r>
      <w:r w:rsidRPr="00E56BA0">
        <w:rPr>
          <w:rFonts w:ascii="Calibri" w:hAnsi="Calibri" w:cs="Calibri"/>
          <w:sz w:val="22"/>
          <w:szCs w:val="22"/>
        </w:rPr>
        <w:t xml:space="preserve">regra de promoções, nos seguintes termos: </w:t>
      </w:r>
    </w:p>
    <w:p w:rsidR="00380E2B" w:rsidRPr="00E56BA0" w:rsidRDefault="00380E2B" w:rsidP="00380E2B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Obrigatoriedade de alternância entre promoção por antiguidade e merecimento, devendo-se aplicar, a cada 3 (três) anos, ou a promoção por antiguidade,</w:t>
      </w:r>
      <w:r w:rsidRPr="00E56BA0">
        <w:rPr>
          <w:rFonts w:ascii="Calibri" w:hAnsi="Calibri" w:cs="Calibri"/>
          <w:sz w:val="22"/>
          <w:szCs w:val="22"/>
        </w:rPr>
        <w:t xml:space="preserve"> ou a promoção por merecimento;</w:t>
      </w:r>
    </w:p>
    <w:p w:rsidR="00380E2B" w:rsidRPr="00E56BA0" w:rsidRDefault="00380E2B" w:rsidP="00380E2B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No contracheque de cada empregado público deve constar discriminadas as promoções, distinguindo-as do salário básico</w:t>
      </w:r>
      <w:r w:rsidRPr="00E56BA0">
        <w:rPr>
          <w:rFonts w:ascii="Calibri" w:hAnsi="Calibri" w:cs="Calibri"/>
          <w:sz w:val="22"/>
          <w:szCs w:val="22"/>
        </w:rPr>
        <w:t>;</w:t>
      </w:r>
    </w:p>
    <w:p w:rsidR="00380E2B" w:rsidRPr="00E56BA0" w:rsidRDefault="00380E2B" w:rsidP="00380E2B">
      <w:pPr>
        <w:pStyle w:val="Pargrafoda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alibri" w:hAnsi="Calibri" w:cs="Calibri"/>
          <w:sz w:val="22"/>
          <w:szCs w:val="22"/>
        </w:rPr>
      </w:pPr>
      <w:r w:rsidRPr="00E56BA0">
        <w:rPr>
          <w:rFonts w:ascii="Calibri" w:hAnsi="Calibri" w:cs="Calibri"/>
          <w:sz w:val="22"/>
          <w:szCs w:val="22"/>
        </w:rPr>
        <w:t>Em face do princípio da irredutibilidade salarial, não deve ser alterado o que já está consolidado como salário básico do empregado público, somente tendo eficácia o disposto nos itens acima para promoções que se derem após a publicação desta Deliberação Plenária.</w:t>
      </w:r>
    </w:p>
    <w:p w:rsidR="00A53CA2" w:rsidRPr="00E56BA0" w:rsidRDefault="00A53CA2" w:rsidP="007C0185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56BA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812EDA" w:rsidRPr="00E56BA0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  <w:r w:rsidRPr="00E56BA0">
        <w:rPr>
          <w:rFonts w:asciiTheme="minorHAnsi" w:hAnsiTheme="minorHAnsi" w:cstheme="minorHAnsi"/>
          <w:sz w:val="22"/>
          <w:szCs w:val="22"/>
        </w:rPr>
        <w:t>Com votos favoráveis, das conselheiras Evelise Jaime Menezes e Márcia Elizabeth Martins, e dos conselheiros Carlos Eduardo Mesquita Pedone, Fausto Henrique Steffen e Rodrigo Spinelli, atesto a veracidade das informações aqui apresentadas.</w:t>
      </w:r>
      <w:bookmarkStart w:id="0" w:name="_GoBack"/>
      <w:bookmarkEnd w:id="0"/>
    </w:p>
    <w:p w:rsidR="00812EDA" w:rsidRPr="00E56BA0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E56BA0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E56BA0" w:rsidRDefault="00812EDA" w:rsidP="00812EDA">
      <w:pPr>
        <w:jc w:val="center"/>
        <w:rPr>
          <w:rFonts w:asciiTheme="minorHAnsi" w:hAnsiTheme="minorHAnsi" w:cstheme="minorHAnsi"/>
          <w:sz w:val="22"/>
          <w:szCs w:val="22"/>
        </w:rPr>
      </w:pPr>
      <w:r w:rsidRPr="00E56BA0">
        <w:rPr>
          <w:rFonts w:asciiTheme="minorHAnsi" w:hAnsiTheme="minorHAnsi" w:cstheme="minorHAnsi"/>
          <w:sz w:val="22"/>
          <w:szCs w:val="22"/>
        </w:rPr>
        <w:t xml:space="preserve">Porto Alegre/RS, </w:t>
      </w:r>
      <w:r w:rsidR="005222DD" w:rsidRPr="00E56BA0">
        <w:rPr>
          <w:rFonts w:asciiTheme="minorHAnsi" w:hAnsiTheme="minorHAnsi" w:cstheme="minorHAnsi"/>
          <w:sz w:val="22"/>
          <w:szCs w:val="22"/>
        </w:rPr>
        <w:t>13</w:t>
      </w:r>
      <w:r w:rsidRPr="00E56BA0">
        <w:rPr>
          <w:rFonts w:asciiTheme="minorHAnsi" w:hAnsiTheme="minorHAnsi" w:cstheme="minorHAnsi"/>
          <w:sz w:val="22"/>
          <w:szCs w:val="22"/>
        </w:rPr>
        <w:t xml:space="preserve"> de </w:t>
      </w:r>
      <w:r w:rsidR="00CD67D3" w:rsidRPr="00E56BA0">
        <w:rPr>
          <w:rFonts w:asciiTheme="minorHAnsi" w:hAnsiTheme="minorHAnsi" w:cstheme="minorHAnsi"/>
          <w:sz w:val="22"/>
          <w:szCs w:val="22"/>
        </w:rPr>
        <w:t>maio</w:t>
      </w:r>
      <w:r w:rsidRPr="00E56BA0">
        <w:rPr>
          <w:rFonts w:asciiTheme="minorHAnsi" w:hAnsiTheme="minorHAnsi" w:cstheme="minorHAnsi"/>
          <w:sz w:val="22"/>
          <w:szCs w:val="22"/>
        </w:rPr>
        <w:t xml:space="preserve"> de 2022.</w:t>
      </w:r>
    </w:p>
    <w:p w:rsidR="00812EDA" w:rsidRPr="00E56BA0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EDA" w:rsidRPr="00E56BA0" w:rsidRDefault="00812EDA" w:rsidP="00812E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0BC5" w:rsidRPr="00E56BA0" w:rsidRDefault="00240BC5" w:rsidP="00240BC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40BC5" w:rsidRPr="00E56BA0" w:rsidRDefault="00240BC5" w:rsidP="00240BC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40BC5" w:rsidRPr="00E56BA0" w:rsidRDefault="00240BC5" w:rsidP="00240BC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E56BA0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240BC5" w:rsidRPr="00E56BA0" w:rsidRDefault="00240BC5" w:rsidP="00240BC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6BA0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240BC5" w:rsidRPr="00E56BA0" w:rsidRDefault="00240BC5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F1F57" w:rsidRPr="00812EDA" w:rsidRDefault="00BF1F57" w:rsidP="00240BC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sectPr w:rsidR="00BF1F57" w:rsidRPr="00812EDA" w:rsidSect="00E75F5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95" w:rsidRDefault="00FC0C95">
      <w:r>
        <w:separator/>
      </w:r>
    </w:p>
  </w:endnote>
  <w:endnote w:type="continuationSeparator" w:id="0">
    <w:p w:rsidR="00FC0C95" w:rsidRDefault="00FC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95" w:rsidRDefault="00FC0C95">
      <w:r>
        <w:separator/>
      </w:r>
    </w:p>
  </w:footnote>
  <w:footnote w:type="continuationSeparator" w:id="0">
    <w:p w:rsidR="00FC0C95" w:rsidRDefault="00FC0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-759846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C0FFA"/>
    <w:multiLevelType w:val="multilevel"/>
    <w:tmpl w:val="28CC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94FE0"/>
    <w:multiLevelType w:val="hybridMultilevel"/>
    <w:tmpl w:val="0728C20E"/>
    <w:lvl w:ilvl="0" w:tplc="0FC2CC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7CC67B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A4A2C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2"/>
    <w:lvlOverride w:ilvl="0">
      <w:lvl w:ilvl="0" w:tplc="5D70109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46B2"/>
    <w:rsid w:val="001D558E"/>
    <w:rsid w:val="001E02C8"/>
    <w:rsid w:val="001E15D4"/>
    <w:rsid w:val="0020186A"/>
    <w:rsid w:val="002162ED"/>
    <w:rsid w:val="00222874"/>
    <w:rsid w:val="0023484F"/>
    <w:rsid w:val="00240BC5"/>
    <w:rsid w:val="00254F9E"/>
    <w:rsid w:val="00262BE0"/>
    <w:rsid w:val="00271145"/>
    <w:rsid w:val="002735A9"/>
    <w:rsid w:val="00274E12"/>
    <w:rsid w:val="00276BE5"/>
    <w:rsid w:val="00277A55"/>
    <w:rsid w:val="00292684"/>
    <w:rsid w:val="002926B3"/>
    <w:rsid w:val="00292EEE"/>
    <w:rsid w:val="002A0CA7"/>
    <w:rsid w:val="002A6FB6"/>
    <w:rsid w:val="002C71F3"/>
    <w:rsid w:val="002D1AC4"/>
    <w:rsid w:val="002E64C2"/>
    <w:rsid w:val="002E7390"/>
    <w:rsid w:val="00305DC6"/>
    <w:rsid w:val="00314F8B"/>
    <w:rsid w:val="00321659"/>
    <w:rsid w:val="0032536C"/>
    <w:rsid w:val="00325B02"/>
    <w:rsid w:val="003304E7"/>
    <w:rsid w:val="00364F3A"/>
    <w:rsid w:val="003652C0"/>
    <w:rsid w:val="0038038E"/>
    <w:rsid w:val="00380E2B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2A6A"/>
    <w:rsid w:val="004C48A8"/>
    <w:rsid w:val="004D318A"/>
    <w:rsid w:val="004E0369"/>
    <w:rsid w:val="004E3809"/>
    <w:rsid w:val="004F25C8"/>
    <w:rsid w:val="004F2EA5"/>
    <w:rsid w:val="00501A9E"/>
    <w:rsid w:val="00521EDA"/>
    <w:rsid w:val="005222DD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65EE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6F67F1"/>
    <w:rsid w:val="0071168F"/>
    <w:rsid w:val="00712108"/>
    <w:rsid w:val="00737297"/>
    <w:rsid w:val="007444F3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0185"/>
    <w:rsid w:val="007C2180"/>
    <w:rsid w:val="007C7C54"/>
    <w:rsid w:val="007F7673"/>
    <w:rsid w:val="00802B60"/>
    <w:rsid w:val="00812EDA"/>
    <w:rsid w:val="00836D6D"/>
    <w:rsid w:val="008414F7"/>
    <w:rsid w:val="008439B7"/>
    <w:rsid w:val="008446B8"/>
    <w:rsid w:val="00855745"/>
    <w:rsid w:val="00865F23"/>
    <w:rsid w:val="00875D64"/>
    <w:rsid w:val="008A04CE"/>
    <w:rsid w:val="008A36CD"/>
    <w:rsid w:val="008A46E3"/>
    <w:rsid w:val="008A48CF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34EB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53CA2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4634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D1CA0"/>
    <w:rsid w:val="00CD67D3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56BA0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30E13"/>
    <w:rsid w:val="00F411E7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0C95"/>
    <w:rsid w:val="00FC15CA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30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C612-BB0F-4075-8181-E13DADF5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815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5</cp:revision>
  <cp:lastPrinted>2015-08-03T11:27:00Z</cp:lastPrinted>
  <dcterms:created xsi:type="dcterms:W3CDTF">2022-05-11T19:30:00Z</dcterms:created>
  <dcterms:modified xsi:type="dcterms:W3CDTF">2022-05-13T21:44:00Z</dcterms:modified>
</cp:coreProperties>
</file>