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39110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9110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1107">
              <w:rPr>
                <w:rFonts w:asciiTheme="minorHAnsi" w:hAnsiTheme="minorHAnsi" w:cstheme="minorHAnsi"/>
                <w:sz w:val="20"/>
                <w:szCs w:val="20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391107" w:rsidRDefault="00C67122" w:rsidP="00391107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1107">
              <w:rPr>
                <w:rFonts w:asciiTheme="minorHAnsi" w:hAnsiTheme="minorHAnsi" w:cstheme="minorHAnsi"/>
                <w:sz w:val="20"/>
                <w:szCs w:val="20"/>
              </w:rPr>
              <w:t xml:space="preserve">Protocolo SICCAU nº </w:t>
            </w:r>
            <w:r w:rsidR="00391107" w:rsidRPr="00391107">
              <w:rPr>
                <w:rFonts w:asciiTheme="minorHAnsi" w:hAnsiTheme="minorHAnsi" w:cstheme="minorHAnsi"/>
                <w:sz w:val="20"/>
                <w:szCs w:val="20"/>
              </w:rPr>
              <w:t>1462422</w:t>
            </w:r>
            <w:r w:rsidRPr="0039110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391107" w:rsidRPr="0039110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C67122" w:rsidRPr="0039110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9110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1107">
              <w:rPr>
                <w:rFonts w:asciiTheme="minorHAnsi" w:hAnsiTheme="minorHAnsi" w:cstheme="minorHAnsi"/>
                <w:sz w:val="20"/>
                <w:szCs w:val="20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391107" w:rsidRDefault="00391107" w:rsidP="00C67122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  <w:r w:rsidRPr="00391107">
              <w:rPr>
                <w:rFonts w:ascii="Calibri" w:hAnsi="Calibri" w:cs="Calibri"/>
                <w:sz w:val="20"/>
                <w:szCs w:val="20"/>
              </w:rPr>
              <w:t>Plenário</w:t>
            </w:r>
            <w:r w:rsidR="00C67122" w:rsidRPr="00391107">
              <w:rPr>
                <w:rFonts w:ascii="Calibri" w:hAnsi="Calibri" w:cs="Calibri"/>
                <w:sz w:val="20"/>
                <w:szCs w:val="20"/>
              </w:rPr>
              <w:t xml:space="preserve"> - CAU/RS </w:t>
            </w:r>
          </w:p>
        </w:tc>
      </w:tr>
      <w:tr w:rsidR="00C67122" w:rsidRPr="0039110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9110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1107">
              <w:rPr>
                <w:rFonts w:asciiTheme="minorHAnsi" w:hAnsiTheme="minorHAnsi" w:cstheme="minorHAnsi"/>
                <w:sz w:val="20"/>
                <w:szCs w:val="20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391107" w:rsidRDefault="00391107" w:rsidP="00C6712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</w:rPr>
            </w:pPr>
            <w:r w:rsidRPr="00391107">
              <w:rPr>
                <w:rFonts w:ascii="Calibri" w:hAnsi="Calibri" w:cs="Calibri"/>
              </w:rPr>
              <w:t>Proposição de Resolução ao CAU/BR</w:t>
            </w:r>
          </w:p>
        </w:tc>
      </w:tr>
      <w:tr w:rsidR="00BD1F54" w:rsidRPr="0039110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391107" w:rsidRDefault="00631CE9" w:rsidP="0039110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DELIBERAÇÃO Nº </w:t>
            </w:r>
            <w:r w:rsidR="007125E5"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  <w:r w:rsidR="00391107"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C67122"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911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CONSELHO DIRETOR</w:t>
            </w:r>
          </w:p>
        </w:tc>
      </w:tr>
    </w:tbl>
    <w:p w:rsidR="00A41D6C" w:rsidRPr="0039110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631CE9" w:rsidRPr="00391107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107">
        <w:rPr>
          <w:rFonts w:asciiTheme="minorHAnsi" w:hAnsiTheme="minorHAnsi" w:cstheme="minorHAnsi"/>
          <w:sz w:val="20"/>
          <w:szCs w:val="20"/>
        </w:rPr>
        <w:t xml:space="preserve">O CONSELHO DIRETOR DO CAU/RS, reunido ordinariamente em Porto Alegre – RS, ordinariamente através de sistema de deliberação remota, no dia 21 de janeiro de 2022, conforme determina a Deliberação Plenária DPO/RS Nº 1155/2020, no uso das competências que lhe conferem o Regimento Interno do CAU/RS, após análise do assunto em epígrafe, e </w:t>
      </w:r>
    </w:p>
    <w:p w:rsidR="00391107" w:rsidRPr="00391107" w:rsidRDefault="00391107" w:rsidP="007125E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>Considerando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 a necessidade de estabelecer diretrizes para definir as atividades de arquitetura e urbanismo que possuem natureza de serviço técnico especializado, a fim de orientar a sociedade e valorizar o adequado exercício da profissão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Considerando que, a partir da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análise efetuada para a emissão da Nota Técnica CAU/RS nº 001/2019, em anexo, resta evidente a necessidade de esclarecimento acerca da natureza técnica especializada dos serviços técnicos de arquitetura e urbanismo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Considerando que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a aprovação da proposição apresentada gerará repercussão perante à sociedade, aos profissionais e às empresas registrados no CAU, à administração pública, bem como aos CAU/UF e, consequentemente, ao CAU/BR, tendo em vista que propiciará a correta definição da natureza dos serviços de arquitetura e urbanismo, no sentido de buscar a racionalização das contratações públicas vinculada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s a objetos afeitos à profissão;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Considerando que a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proposição apresentada trará maior objetividade à defesa do patrimônio público e à valorização da profissão, tendo em vista que garantirá que a disputa por contratos públicos, por exemplo, baseie-se em critérios que envolvam a análise da qu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alidade técnica dos proponentes;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Considerando que a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proposição tem por objetivo garantir a proteção às prerrogativas dos profissionais arquitetos e urbanistas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 e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empregar maior segurança e efetividade às contratações públicas, em razão da publicação do Decreto nº 10.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024, de 20 de setembro de 2019;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Considerando o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objetivo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 xml:space="preserve">de 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dar maior eficácia e coercibilidade às eventuais ações administrativas ou judiciais, cujo objetivo seja viabilizar a contratação de forma correta dos serviços afeitos à arquitetura e urbanismo, concedendo maior efetividade à Lei nº 12.378, de 31 de dezembro de 2010, e às Resoluções do CAU/BR</w:t>
      </w:r>
      <w:r w:rsidRPr="0039110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391107" w:rsidRPr="00391107" w:rsidRDefault="00391107" w:rsidP="0039110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C67122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107">
        <w:rPr>
          <w:rFonts w:asciiTheme="minorHAnsi" w:hAnsiTheme="minorHAnsi" w:cstheme="minorHAnsi"/>
          <w:b/>
          <w:sz w:val="20"/>
          <w:szCs w:val="20"/>
        </w:rPr>
        <w:t>DELIBEROU por</w:t>
      </w:r>
      <w:r w:rsidRPr="00391107">
        <w:rPr>
          <w:rFonts w:asciiTheme="minorHAnsi" w:hAnsiTheme="minorHAnsi" w:cstheme="minorHAnsi"/>
          <w:sz w:val="20"/>
          <w:szCs w:val="20"/>
        </w:rPr>
        <w:t>:</w:t>
      </w:r>
    </w:p>
    <w:p w:rsidR="00391107" w:rsidRPr="00391107" w:rsidRDefault="00391107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7125E5" w:rsidRPr="00391107" w:rsidRDefault="007125E5" w:rsidP="0039110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0"/>
          <w:szCs w:val="20"/>
          <w:lang w:eastAsia="pt-BR"/>
        </w:rPr>
      </w:pPr>
      <w:r w:rsidRPr="00391107">
        <w:rPr>
          <w:rFonts w:ascii="Calibri" w:hAnsi="Calibri" w:cs="Calibri"/>
          <w:sz w:val="20"/>
          <w:szCs w:val="20"/>
        </w:rPr>
        <w:t xml:space="preserve">Homologar </w:t>
      </w:r>
      <w:r w:rsidR="00391107" w:rsidRPr="00391107">
        <w:rPr>
          <w:rFonts w:ascii="Calibri" w:hAnsi="Calibri" w:cs="Calibri"/>
          <w:sz w:val="20"/>
          <w:szCs w:val="20"/>
        </w:rPr>
        <w:t>a proposição de Resolução que estabelece diretrizes para definir as atividades de arquitetura e urbanismo que têm natureza de serviço técnico especializado e dá outras providências;</w:t>
      </w:r>
    </w:p>
    <w:p w:rsidR="00391107" w:rsidRPr="00391107" w:rsidRDefault="00391107" w:rsidP="00391107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eastAsia="Times New Roman" w:hAnsiTheme="minorHAnsi" w:cstheme="minorHAnsi"/>
          <w:color w:val="201F1E"/>
          <w:sz w:val="20"/>
          <w:szCs w:val="20"/>
          <w:lang w:eastAsia="pt-BR"/>
        </w:rPr>
      </w:pPr>
    </w:p>
    <w:p w:rsidR="00391107" w:rsidRPr="00391107" w:rsidRDefault="00391107" w:rsidP="0039110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0"/>
          <w:szCs w:val="20"/>
          <w:lang w:eastAsia="pt-BR"/>
        </w:rPr>
      </w:pPr>
      <w:r w:rsidRPr="00391107">
        <w:rPr>
          <w:rFonts w:ascii="Calibri" w:hAnsi="Calibri" w:cs="Calibri"/>
          <w:sz w:val="20"/>
          <w:szCs w:val="20"/>
        </w:rPr>
        <w:t>Encaminhar ao Plenário do CAU/RS para homologação e posterior envio ao CAU/RS.</w:t>
      </w:r>
    </w:p>
    <w:p w:rsidR="007125E5" w:rsidRPr="00391107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0"/>
          <w:szCs w:val="20"/>
          <w:lang w:eastAsia="pt-BR"/>
        </w:rPr>
      </w:pPr>
    </w:p>
    <w:p w:rsidR="00E75F5B" w:rsidRPr="0039110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107">
        <w:rPr>
          <w:rFonts w:asciiTheme="minorHAnsi" w:hAnsiTheme="minorHAnsi" w:cstheme="minorHAnsi"/>
          <w:sz w:val="20"/>
          <w:szCs w:val="20"/>
        </w:rPr>
        <w:t>Com votos favoráveis, das conselheiras Andréa Larruscahim Hamilton Ilha</w:t>
      </w:r>
      <w:r w:rsidR="00AF45B8" w:rsidRPr="00391107">
        <w:rPr>
          <w:rFonts w:asciiTheme="minorHAnsi" w:hAnsiTheme="minorHAnsi" w:cstheme="minorHAnsi"/>
          <w:sz w:val="20"/>
          <w:szCs w:val="20"/>
        </w:rPr>
        <w:t xml:space="preserve">, </w:t>
      </w:r>
      <w:r w:rsidRPr="00391107">
        <w:rPr>
          <w:rFonts w:asciiTheme="minorHAnsi" w:hAnsiTheme="minorHAnsi" w:cstheme="minorHAnsi"/>
          <w:sz w:val="20"/>
          <w:szCs w:val="20"/>
        </w:rPr>
        <w:t xml:space="preserve">Deise Flores Santos e </w:t>
      </w:r>
      <w:r w:rsidR="00AF45B8" w:rsidRPr="00391107">
        <w:rPr>
          <w:rFonts w:asciiTheme="minorHAnsi" w:hAnsiTheme="minorHAnsi" w:cstheme="minorHAnsi"/>
          <w:sz w:val="20"/>
          <w:szCs w:val="20"/>
        </w:rPr>
        <w:t xml:space="preserve">Evelise </w:t>
      </w:r>
      <w:r w:rsidR="00C67122" w:rsidRPr="00391107">
        <w:rPr>
          <w:rFonts w:asciiTheme="minorHAnsi" w:hAnsiTheme="minorHAnsi" w:cstheme="minorHAnsi"/>
          <w:sz w:val="20"/>
          <w:szCs w:val="20"/>
        </w:rPr>
        <w:t xml:space="preserve">Jaime de Menezes e </w:t>
      </w:r>
      <w:r w:rsidRPr="00391107">
        <w:rPr>
          <w:rFonts w:asciiTheme="minorHAnsi" w:hAnsiTheme="minorHAnsi" w:cstheme="minorHAnsi"/>
          <w:sz w:val="20"/>
          <w:szCs w:val="20"/>
        </w:rPr>
        <w:t>dos conselheiros Fausto Henrique Steffen e Rodrigo Spinelli, atesto a veracidade das informações aqui apresentadas.</w:t>
      </w:r>
    </w:p>
    <w:p w:rsidR="00E75F5B" w:rsidRPr="00391107" w:rsidRDefault="00E75F5B" w:rsidP="00E75F5B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:rsidR="00E75F5B" w:rsidRPr="00391107" w:rsidRDefault="00E75F5B" w:rsidP="00E75F5B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  <w:r w:rsidRPr="00391107">
        <w:rPr>
          <w:rFonts w:asciiTheme="minorHAnsi" w:hAnsiTheme="minorHAnsi" w:cstheme="minorHAnsi"/>
          <w:sz w:val="20"/>
          <w:szCs w:val="20"/>
          <w:lang w:eastAsia="pt-BR"/>
        </w:rPr>
        <w:t xml:space="preserve">Porto Alegre/RS, 21 de </w:t>
      </w:r>
      <w:r w:rsidR="00C67122" w:rsidRPr="00391107">
        <w:rPr>
          <w:rFonts w:asciiTheme="minorHAnsi" w:hAnsiTheme="minorHAnsi" w:cstheme="minorHAnsi"/>
          <w:sz w:val="20"/>
          <w:szCs w:val="20"/>
          <w:lang w:eastAsia="pt-BR"/>
        </w:rPr>
        <w:t xml:space="preserve">janeiro </w:t>
      </w:r>
      <w:r w:rsidRPr="00391107">
        <w:rPr>
          <w:rFonts w:asciiTheme="minorHAnsi" w:hAnsiTheme="minorHAnsi" w:cstheme="minorHAnsi"/>
          <w:sz w:val="20"/>
          <w:szCs w:val="20"/>
          <w:lang w:eastAsia="pt-BR"/>
        </w:rPr>
        <w:t>de 202</w:t>
      </w:r>
      <w:r w:rsidR="00C67122" w:rsidRPr="00391107">
        <w:rPr>
          <w:rFonts w:asciiTheme="minorHAnsi" w:hAnsiTheme="minorHAnsi" w:cstheme="minorHAnsi"/>
          <w:sz w:val="20"/>
          <w:szCs w:val="20"/>
          <w:lang w:eastAsia="pt-BR"/>
        </w:rPr>
        <w:t>2</w:t>
      </w:r>
      <w:r w:rsidRPr="00391107">
        <w:rPr>
          <w:rFonts w:asciiTheme="minorHAnsi" w:hAnsiTheme="minorHAnsi" w:cstheme="minorHAnsi"/>
          <w:sz w:val="20"/>
          <w:szCs w:val="20"/>
          <w:lang w:eastAsia="pt-BR"/>
        </w:rPr>
        <w:t>.</w:t>
      </w:r>
    </w:p>
    <w:p w:rsidR="00E75F5B" w:rsidRPr="00391107" w:rsidRDefault="00E75F5B" w:rsidP="00E75F5B">
      <w:pPr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E75F5B" w:rsidRPr="00391107" w:rsidRDefault="00E75F5B" w:rsidP="00E75F5B">
      <w:pPr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C67122" w:rsidRPr="00391107" w:rsidRDefault="00C67122" w:rsidP="00E75F5B">
      <w:pPr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E75F5B" w:rsidRPr="00391107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0"/>
          <w:szCs w:val="20"/>
          <w:lang w:eastAsia="pt-BR"/>
        </w:rPr>
      </w:pPr>
      <w:r w:rsidRPr="00391107">
        <w:rPr>
          <w:rFonts w:asciiTheme="minorHAnsi" w:hAnsiTheme="minorHAnsi" w:cstheme="minorHAnsi"/>
          <w:b/>
          <w:caps/>
          <w:spacing w:val="4"/>
          <w:sz w:val="20"/>
          <w:szCs w:val="20"/>
          <w:lang w:eastAsia="pt-BR"/>
        </w:rPr>
        <w:t>TIAGO HOLZMANN DA SILVA</w:t>
      </w:r>
    </w:p>
    <w:p w:rsidR="00BF1F57" w:rsidRDefault="00E75F5B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0"/>
          <w:szCs w:val="20"/>
          <w:lang w:eastAsia="pt-BR"/>
        </w:rPr>
      </w:pPr>
      <w:r w:rsidRPr="00391107">
        <w:rPr>
          <w:rFonts w:asciiTheme="minorHAnsi" w:eastAsia="Calibri" w:hAnsiTheme="minorHAnsi" w:cstheme="minorHAnsi"/>
          <w:sz w:val="20"/>
          <w:szCs w:val="20"/>
          <w:lang w:eastAsia="pt-BR"/>
        </w:rPr>
        <w:t>Presidente do CAU/RS</w:t>
      </w:r>
    </w:p>
    <w:p w:rsidR="00391107" w:rsidRDefault="00391107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0"/>
          <w:szCs w:val="20"/>
          <w:lang w:eastAsia="pt-BR"/>
        </w:rPr>
      </w:pP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lastRenderedPageBreak/>
        <w:t>RESOLUÇÃO N° XX, DE XX DE XXXX DE XXXX.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ind w:left="4253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Estabelece diretrizes para definir as atividades de arquitetura e urbanismo que têm natureza de se</w:t>
      </w:r>
      <w:bookmarkStart w:id="0" w:name="_GoBack"/>
      <w:bookmarkEnd w:id="0"/>
      <w:r w:rsidRPr="00391107">
        <w:rPr>
          <w:rFonts w:ascii="Calibri" w:hAnsi="Calibri" w:cs="Calibri"/>
          <w:sz w:val="20"/>
          <w:szCs w:val="20"/>
        </w:rPr>
        <w:t>rviço técnico especializado e dá outras providências.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 xml:space="preserve">O CONSELHO DE ARQUITETURA E URBANISMO DO BRASIL (CAU/BR), no uso das atribuições que lhe conferem o art. XX da Lei n° 12.378, de 31 de dezembro de 2010, e os artigos XX, XX do Regimento Interno do CAU/BR, aprovado pela Resolução CAU/BR n° 139, de 28 de maio de 2017, e de acordo com a Deliberação Plenária </w:t>
      </w:r>
      <w:proofErr w:type="gramStart"/>
      <w:r w:rsidRPr="00391107">
        <w:rPr>
          <w:rFonts w:ascii="Calibri" w:hAnsi="Calibri" w:cs="Calibri"/>
          <w:sz w:val="20"/>
          <w:szCs w:val="20"/>
        </w:rPr>
        <w:t>DP(</w:t>
      </w:r>
      <w:proofErr w:type="gramEnd"/>
      <w:r w:rsidRPr="00391107">
        <w:rPr>
          <w:rFonts w:ascii="Calibri" w:hAnsi="Calibri" w:cs="Calibri"/>
          <w:sz w:val="20"/>
          <w:szCs w:val="20"/>
        </w:rPr>
        <w:t>X)BR N° 00XX-XX/XXX, adotada na XX Reunião Plenária (Ordinária/ Extraordinária/Ampliada), realizada no(s) dia(s) XX de XXXX de XXXX;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a Lei nº 12.378, de 2010, regulamento o exercício da profissão de arquitetura e urbanismo;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 art.2º, da Lei nº 12.378, de 2010, define as atividades e as atribuições do arquiteto e urbanista, bem como os campos de atuação da referida profissão;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 art. 3º, § 2º, da Lei nº 12.378, de 2010, estabelece que “</w:t>
      </w:r>
      <w:r w:rsidRPr="00391107">
        <w:rPr>
          <w:rFonts w:ascii="Calibri" w:hAnsi="Calibri" w:cs="Calibri"/>
          <w:i/>
          <w:sz w:val="20"/>
          <w:szCs w:val="20"/>
        </w:rPr>
        <w:t>serão consideradas privativas de profissional especializado as áreas de atuação nas quais a ausência de formação superior exponha o usuário do serviço a qualquer risco ou danos materiais à segurança, à saúde ou ao meio ambiente</w:t>
      </w:r>
      <w:r w:rsidRPr="00391107">
        <w:rPr>
          <w:rFonts w:ascii="Calibri" w:hAnsi="Calibri" w:cs="Calibri"/>
          <w:sz w:val="20"/>
          <w:szCs w:val="20"/>
        </w:rPr>
        <w:t>”;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 art. 5º, da Lei nº 12.378, de 2010, estipula que, “</w:t>
      </w:r>
      <w:r w:rsidRPr="00391107">
        <w:rPr>
          <w:rFonts w:ascii="Calibri" w:hAnsi="Calibri" w:cs="Calibri"/>
          <w:i/>
          <w:sz w:val="20"/>
          <w:szCs w:val="20"/>
        </w:rPr>
        <w:t>para uso do título de arquiteto e urbanista e para o exercício das atividades profissionais privativas correspondentes, é obrigatório o registro do profissional no CAU do Estado ou do Distrito Federal</w:t>
      </w:r>
      <w:r w:rsidRPr="00391107">
        <w:rPr>
          <w:rFonts w:ascii="Calibri" w:hAnsi="Calibri" w:cs="Calibri"/>
          <w:sz w:val="20"/>
          <w:szCs w:val="20"/>
        </w:rPr>
        <w:t>”;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o disposto no art. 24, § 1º, da Lei nº 12.378/2010,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 art. 28, da Lei nº 12.378, de 2010, institui que compete ao CAU/BR, dentre outros, zelar pela dignidade, independência, prerrogativas e valorização da arquitetura e do urbanismo e editar os provimentos que julgar necessários;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 art. 45, da Lei nº 12.378, de 2010, estabelece que “</w:t>
      </w:r>
      <w:r w:rsidRPr="00391107">
        <w:rPr>
          <w:rFonts w:ascii="Calibri" w:hAnsi="Calibri" w:cs="Calibri"/>
          <w:i/>
          <w:sz w:val="20"/>
          <w:szCs w:val="20"/>
        </w:rPr>
        <w:t>toda realização de trabalho de competência privativa ou de atuação compartilhadas com outras profissões regulamentadas será objeto de Registro de Responsabilidade Técnica – RRT</w:t>
      </w:r>
      <w:r w:rsidRPr="00391107">
        <w:rPr>
          <w:rFonts w:ascii="Calibri" w:hAnsi="Calibri" w:cs="Calibri"/>
          <w:sz w:val="20"/>
          <w:szCs w:val="20"/>
        </w:rPr>
        <w:t>”;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os padrões de desempenho e qualidade de serviços e obras de arquitetura e urbanismo, por serem objeto de soluções específicas e tecnicamente complexas, não podem ser objetivamente definidos, por meio de especificações reconhecidas e usuais de mercado, carecendo de capacidade técnica intrínseca apenas aos profissionais legalmente habilitados e com as devidas atribuições;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Considerando que os serviços de arquitetura e urbanismo envolvem o desenvolvimento de soluções técnicas de alta heterogeneidade ou complexidade técnica, relacionadas a circunstâncias específicas e variáveis, segundo as peculiaridades do local em que serão executadas, as quais dependem da racionalidade e da experiência do arquiteto e urbanista que tecnicamente se responsabiliza pela atividade;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RESOLVE:</w:t>
      </w:r>
    </w:p>
    <w:p w:rsidR="00391107" w:rsidRPr="00391107" w:rsidRDefault="00391107" w:rsidP="00391107">
      <w:pPr>
        <w:pStyle w:val="PargrafodaLista"/>
        <w:numPr>
          <w:ilvl w:val="0"/>
          <w:numId w:val="16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Estabelecer que as obras e os serviços de arquitetura e urbanismo possuem natureza de serviço técnico especializado, nos casos em que se exige a habilitação legal para o seu desenvolvimento ou a sua execução, com a emissão do respectivo Registro de Responsabilidade Técnica – RRT.</w:t>
      </w:r>
    </w:p>
    <w:p w:rsidR="00391107" w:rsidRPr="00391107" w:rsidRDefault="00391107" w:rsidP="00391107">
      <w:pPr>
        <w:pStyle w:val="PargrafodaLista"/>
        <w:numPr>
          <w:ilvl w:val="1"/>
          <w:numId w:val="16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Os serviços são assim caracterizados por envolverem o desenvolvimento de soluções específicas de natureza intelectual, científica e técnica, por abarcarem risco aos usuários, à sociedade, ao patrimônio e ao meio ambiente, por sua complexidade, exigindo, portanto, profissionais legalmente habilitados e com as devidas atribuições e por sua heterogeneidade, uma vez que as atividades executadas por profissionais diferentes resultariam soluções próprias, derivadas da racionalidade humana, que depende do intelecto e da experiência própria de cada profissional, as quais não podem ser definidas por padrões de mercado.</w:t>
      </w:r>
    </w:p>
    <w:p w:rsidR="00391107" w:rsidRPr="00391107" w:rsidRDefault="00391107" w:rsidP="00391107">
      <w:pPr>
        <w:pStyle w:val="PargrafodaLista"/>
        <w:numPr>
          <w:ilvl w:val="1"/>
          <w:numId w:val="16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 xml:space="preserve">As obras são assim caracterizadas em função da alta complexidade e dos conhecimentos técnicos multidisciplinares exigidos para o desenvolvimento do empreendimento, sua qualidade e segurança, por envolver </w:t>
      </w:r>
      <w:r w:rsidRPr="00391107">
        <w:rPr>
          <w:rFonts w:ascii="Calibri" w:hAnsi="Calibri" w:cs="Calibri"/>
          <w:sz w:val="20"/>
          <w:szCs w:val="20"/>
        </w:rPr>
        <w:lastRenderedPageBreak/>
        <w:t>risco aos usuários, à sociedade, ao patrimônio e ao meio ambiente, e por demandar uma interação de concepção físico-financeira que determinará a otimização de custos e prazos, exigindo, portanto, profissionais legalmente habilitados e capacitados, com as devidas atribuições.</w:t>
      </w:r>
    </w:p>
    <w:p w:rsidR="00391107" w:rsidRPr="00391107" w:rsidRDefault="00391107" w:rsidP="00391107">
      <w:pPr>
        <w:pStyle w:val="PargrafodaLista"/>
        <w:numPr>
          <w:ilvl w:val="0"/>
          <w:numId w:val="16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Todos os serviços de arquitetura e urbanismo serão considerados de natureza técnica especializada, exceto quando não houver margem de racionalidade do profissional, a ponto de possibilitar que qualquer profissional habilitado, independentemente da experiência e de suas qualificações pessoais, produza resultado semelhante e apresente solução idêntica ou similar, sem nível de intelectualidade, baseada na experiência própria de cada um, não bastando que o serviço possa ser objetivamente definido por padrões de mercado.</w:t>
      </w:r>
    </w:p>
    <w:p w:rsidR="00391107" w:rsidRPr="00391107" w:rsidRDefault="00391107" w:rsidP="00391107">
      <w:pPr>
        <w:pStyle w:val="PargrafodaLista"/>
        <w:tabs>
          <w:tab w:val="left" w:pos="567"/>
          <w:tab w:val="left" w:pos="851"/>
          <w:tab w:val="left" w:pos="1560"/>
        </w:tabs>
        <w:spacing w:before="120" w:after="120"/>
        <w:ind w:left="0"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Parágrafo único.</w:t>
      </w:r>
      <w:r w:rsidRPr="00391107">
        <w:rPr>
          <w:rFonts w:ascii="Calibri" w:hAnsi="Calibri" w:cs="Calibri"/>
          <w:sz w:val="20"/>
          <w:szCs w:val="20"/>
        </w:rPr>
        <w:tab/>
        <w:t>Serão considerados serviços comuns, desde que não envolvam a utilização de técnicas especializadas, a elaboração de qualquer análise ou a escolha de diferentes soluções, entre outros, os que seguem: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Pintura;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Impermeabilização;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Instalação de forro;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Instalação de aparelhos condicionadores de ar;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Manutenção predial.</w:t>
      </w:r>
    </w:p>
    <w:p w:rsidR="00391107" w:rsidRPr="00391107" w:rsidRDefault="00391107" w:rsidP="00391107">
      <w:pPr>
        <w:pStyle w:val="PargrafodaLista"/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(...).</w:t>
      </w:r>
    </w:p>
    <w:p w:rsidR="00391107" w:rsidRPr="00391107" w:rsidRDefault="00391107" w:rsidP="00391107">
      <w:pPr>
        <w:pStyle w:val="PargrafodaLista"/>
        <w:tabs>
          <w:tab w:val="left" w:pos="567"/>
          <w:tab w:val="left" w:pos="851"/>
          <w:tab w:val="left" w:pos="1560"/>
        </w:tabs>
        <w:spacing w:before="120" w:after="120"/>
        <w:ind w:left="0"/>
        <w:jc w:val="both"/>
        <w:rPr>
          <w:rFonts w:ascii="Calibri" w:hAnsi="Calibri" w:cs="Calibri"/>
          <w:sz w:val="20"/>
          <w:szCs w:val="20"/>
        </w:rPr>
      </w:pPr>
    </w:p>
    <w:p w:rsidR="00391107" w:rsidRPr="00391107" w:rsidRDefault="00391107" w:rsidP="00391107">
      <w:pPr>
        <w:pStyle w:val="PargrafodaLista"/>
        <w:numPr>
          <w:ilvl w:val="0"/>
          <w:numId w:val="18"/>
        </w:numPr>
        <w:tabs>
          <w:tab w:val="left" w:pos="567"/>
          <w:tab w:val="left" w:pos="851"/>
          <w:tab w:val="left" w:pos="1134"/>
          <w:tab w:val="left" w:pos="1560"/>
        </w:tabs>
        <w:spacing w:before="120" w:after="120"/>
        <w:ind w:left="0"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Esta Resolução entra em vigor na data de sua publicação.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  <w:highlight w:val="lightGray"/>
        </w:rPr>
      </w:pP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Brasília, XX de XXXXX de XXXX.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</w:rPr>
      </w:pP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</w:rPr>
      </w:pP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391107">
        <w:rPr>
          <w:rFonts w:ascii="Calibri" w:hAnsi="Calibri" w:cs="Calibri"/>
          <w:sz w:val="20"/>
          <w:szCs w:val="20"/>
        </w:rPr>
        <w:t>XXXXX (nome)</w:t>
      </w:r>
    </w:p>
    <w:p w:rsidR="00391107" w:rsidRPr="00391107" w:rsidRDefault="00391107" w:rsidP="00391107">
      <w:pPr>
        <w:tabs>
          <w:tab w:val="left" w:pos="567"/>
          <w:tab w:val="left" w:pos="851"/>
          <w:tab w:val="left" w:pos="1560"/>
        </w:tabs>
        <w:spacing w:before="120" w:after="120"/>
        <w:jc w:val="center"/>
        <w:rPr>
          <w:rFonts w:ascii="Calibri" w:hAnsi="Calibri" w:cs="Calibri"/>
          <w:sz w:val="20"/>
          <w:szCs w:val="20"/>
          <w:highlight w:val="lightGray"/>
        </w:rPr>
      </w:pPr>
      <w:r w:rsidRPr="00391107">
        <w:rPr>
          <w:rFonts w:ascii="Calibri" w:hAnsi="Calibri" w:cs="Calibri"/>
          <w:sz w:val="20"/>
          <w:szCs w:val="20"/>
        </w:rPr>
        <w:t>Presidente do CAU/BR</w:t>
      </w:r>
    </w:p>
    <w:p w:rsidR="00391107" w:rsidRPr="00391107" w:rsidRDefault="00391107" w:rsidP="007125E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sectPr w:rsidR="00391107" w:rsidRPr="00391107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870"/>
    <w:multiLevelType w:val="hybridMultilevel"/>
    <w:tmpl w:val="1792A022"/>
    <w:lvl w:ilvl="0" w:tplc="CD7810C4">
      <w:start w:val="10"/>
      <w:numFmt w:val="decimal"/>
      <w:lvlText w:val="Art. 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color w:val="auto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107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02D0-CEE1-4B30-97E2-60E98D1E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1288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8</cp:revision>
  <cp:lastPrinted>2022-01-24T16:44:00Z</cp:lastPrinted>
  <dcterms:created xsi:type="dcterms:W3CDTF">2022-01-21T18:18:00Z</dcterms:created>
  <dcterms:modified xsi:type="dcterms:W3CDTF">2022-01-24T16:44:00Z</dcterms:modified>
</cp:coreProperties>
</file>