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21EA8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C21EA8" w:rsidRDefault="00AF1451" w:rsidP="007F705E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16</w:t>
            </w:r>
            <w:r w:rsidR="007F705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E638D2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C21EA8" w:rsidRDefault="007E57BA" w:rsidP="00AF1451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2"/>
        <w:gridCol w:w="1275"/>
        <w:gridCol w:w="2444"/>
      </w:tblGrid>
      <w:tr w:rsidR="00C13B3B" w:rsidRPr="00C21EA8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C21EA8" w:rsidRDefault="003B12EB" w:rsidP="0028264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31</w:t>
            </w:r>
            <w:r w:rsidR="00834A5C" w:rsidRPr="00834A5C">
              <w:rPr>
                <w:rFonts w:asciiTheme="minorHAnsi" w:eastAsia="MS Mincho" w:hAnsiTheme="minorHAnsi"/>
                <w:sz w:val="22"/>
                <w:szCs w:val="22"/>
              </w:rPr>
              <w:t xml:space="preserve"> de julho de 2019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14 às 17 horas</w:t>
            </w:r>
          </w:p>
        </w:tc>
      </w:tr>
      <w:tr w:rsidR="00C13B3B" w:rsidRPr="00C21EA8" w:rsidTr="00244521"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26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C21EA8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Vice-Presidente do CAU/RS e Coordenador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Coordenador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C21EA8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C21EA8" w:rsidRDefault="00AF1451" w:rsidP="00AF1451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C21EA8" w:rsidRDefault="00AF1451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C21EA8" w:rsidRDefault="00681548" w:rsidP="00032E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C21EA8" w:rsidRDefault="00AF1451" w:rsidP="002826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A5C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34A5C" w:rsidRPr="00C21EA8" w:rsidRDefault="00834A5C" w:rsidP="00032E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834A5C" w:rsidRPr="00C21EA8" w:rsidRDefault="00834A5C" w:rsidP="002826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97661" w:rsidRPr="00C21EA8" w:rsidRDefault="00397661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C21EA8" w:rsidRDefault="007F0D7E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DB292D"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-</w:t>
            </w: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506BFB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C21EA8" w:rsidRDefault="00C13B3B" w:rsidP="00EB16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C21EA8" w:rsidRDefault="007F0D7E" w:rsidP="002826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A pauta proposta é aprovada por todos</w:t>
            </w:r>
            <w:r w:rsidR="00770C9D" w:rsidRPr="00C21EA8">
              <w:rPr>
                <w:rFonts w:asciiTheme="minorHAnsi" w:eastAsia="MS Mincho" w:hAnsiTheme="minorHAnsi"/>
                <w:sz w:val="22"/>
                <w:szCs w:val="22"/>
              </w:rPr>
              <w:t xml:space="preserve">, com a inclusão de </w:t>
            </w:r>
            <w:r w:rsidR="001D58D6" w:rsidRPr="00C21EA8">
              <w:rPr>
                <w:rFonts w:asciiTheme="minorHAnsi" w:eastAsia="MS Mincho" w:hAnsiTheme="minorHAnsi"/>
                <w:sz w:val="22"/>
                <w:szCs w:val="22"/>
              </w:rPr>
              <w:t>item referente a</w:t>
            </w:r>
            <w:r w:rsidR="00282648" w:rsidRPr="00C21EA8">
              <w:rPr>
                <w:rFonts w:asciiTheme="minorHAnsi" w:eastAsia="MS Mincho" w:hAnsiTheme="minorHAnsi"/>
                <w:sz w:val="22"/>
                <w:szCs w:val="22"/>
              </w:rPr>
              <w:t xml:space="preserve">s plenárias para julgamento de processos éticos. </w:t>
            </w:r>
          </w:p>
        </w:tc>
      </w:tr>
    </w:tbl>
    <w:p w:rsidR="00C05F5C" w:rsidRDefault="00C05F5C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16453E" w:rsidRPr="00C21EA8" w:rsidTr="00A06F6F">
        <w:trPr>
          <w:trHeight w:val="284"/>
        </w:trPr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16453E" w:rsidRDefault="0016453E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53E">
              <w:rPr>
                <w:rFonts w:asciiTheme="minorHAnsi" w:eastAsia="MS Mincho" w:hAnsiTheme="minorHAnsi"/>
                <w:b/>
                <w:sz w:val="22"/>
                <w:szCs w:val="22"/>
              </w:rPr>
              <w:t>Aprovação de súmulas de reuniões anteriores</w:t>
            </w:r>
            <w:r w:rsidR="00A93DC7">
              <w:rPr>
                <w:rFonts w:asciiTheme="minorHAnsi" w:eastAsia="MS Mincho" w:hAnsiTheme="minorHAnsi"/>
                <w:b/>
                <w:sz w:val="22"/>
                <w:szCs w:val="22"/>
              </w:rPr>
              <w:t>:</w:t>
            </w:r>
          </w:p>
          <w:p w:rsidR="00A93DC7" w:rsidRPr="00621183" w:rsidRDefault="00A93DC7" w:rsidP="00A93DC7">
            <w:pPr>
              <w:pStyle w:val="PargrafodaLista"/>
              <w:numPr>
                <w:ilvl w:val="1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161ª Reunião;</w:t>
            </w:r>
          </w:p>
          <w:p w:rsidR="00A93DC7" w:rsidRPr="00621183" w:rsidRDefault="00A93DC7" w:rsidP="00A93DC7">
            <w:pPr>
              <w:pStyle w:val="PargrafodaLista"/>
              <w:numPr>
                <w:ilvl w:val="1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162ª Reunião;</w:t>
            </w:r>
          </w:p>
          <w:p w:rsidR="00A93DC7" w:rsidRDefault="00A93DC7" w:rsidP="00A93DC7">
            <w:pPr>
              <w:pStyle w:val="PargrafodaLista"/>
              <w:numPr>
                <w:ilvl w:val="1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163ª Reunião;</w:t>
            </w:r>
          </w:p>
          <w:p w:rsidR="003B12EB" w:rsidRPr="003B12EB" w:rsidRDefault="003B12EB" w:rsidP="003B12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 súmulas acima relacionadas foram lidas e aprovadas por todos os presentes. </w:t>
            </w:r>
          </w:p>
        </w:tc>
      </w:tr>
    </w:tbl>
    <w:p w:rsidR="0016453E" w:rsidRPr="00C21EA8" w:rsidRDefault="0016453E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F60321" w:rsidRPr="00C21EA8" w:rsidTr="00DB292D">
        <w:trPr>
          <w:trHeight w:val="284"/>
        </w:trPr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F60321" w:rsidRPr="00C21EA8" w:rsidRDefault="00660528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C21EA8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Aprovação da Pauta da 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 xml:space="preserve">ª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Reunião </w:t>
            </w: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Plenária Extraordinária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16453E" w:rsidRPr="00C21EA8" w:rsidRDefault="003B12EB" w:rsidP="0016453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pauta é lida e aprovada pelos presentes, conforme a </w:t>
            </w:r>
            <w:r w:rsidRPr="003B12EB">
              <w:rPr>
                <w:rFonts w:asciiTheme="minorHAnsi" w:hAnsiTheme="minorHAnsi"/>
                <w:sz w:val="22"/>
                <w:szCs w:val="22"/>
              </w:rPr>
              <w:t>DELIBERAÇÃO Nº 039/2019 – CONSELHO DIRETOR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 xml:space="preserve">Aprovação da Pauta da 100ª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Reunião </w:t>
            </w: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Plenária Ordinária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16453E" w:rsidRPr="00C21EA8" w:rsidRDefault="003B12EB" w:rsidP="003B12EB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pauta é lida e aprovada pelos presentes, conforme a </w:t>
            </w:r>
            <w:r w:rsidRPr="003B12EB">
              <w:rPr>
                <w:rFonts w:asciiTheme="minorHAnsi" w:hAnsiTheme="minorHAnsi"/>
                <w:sz w:val="22"/>
                <w:szCs w:val="22"/>
              </w:rPr>
              <w:t xml:space="preserve">DELIBERAÇÃO Nº </w:t>
            </w:r>
            <w:r>
              <w:rPr>
                <w:rFonts w:asciiTheme="minorHAnsi" w:hAnsiTheme="minorHAnsi"/>
                <w:sz w:val="22"/>
                <w:szCs w:val="22"/>
              </w:rPr>
              <w:t>040</w:t>
            </w:r>
            <w:r w:rsidRPr="003B12EB">
              <w:rPr>
                <w:rFonts w:asciiTheme="minorHAnsi" w:hAnsiTheme="minorHAnsi"/>
                <w:sz w:val="22"/>
                <w:szCs w:val="22"/>
              </w:rPr>
              <w:t>/2019 – CONSELHO DIRETOR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Retorno do Comitê para análise acerca de registros de Pessoa Jurídica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Comitê PJ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 xml:space="preserve">Paulo Fernando do Amaral Fontana 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243C3E" w:rsidP="00243C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Define-se que o Comitê se reunirá no dia 08 de agosto próximo, as 14 horas, com o intuito de equalizar o entendimento sobre o tema. Caso seja consolidada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a proposta de encaminhamento, o tema deverá ser incluído na plenária extraordinária, a ocorrer no dia 09 de agosto de 2019.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SGI – Sistema de Gestão Integrada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57E12" w:rsidP="001645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Geral Tales Völker informa que, conforme informação atualizada, a partir do dia 28 de agosto, já estará disponível para testes, o módulo de processos éticos. Define-se que, tao logo esteja disponível para teste, o módulo de convocações será apresentado ao Conselheiros, com realização de treinamentos.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21º CBA - Congresso Brasileiro de Arquitetos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57E12" w:rsidP="0016453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57E12">
              <w:rPr>
                <w:rFonts w:asciiTheme="minorHAnsi" w:hAnsiTheme="minorHAnsi"/>
                <w:spacing w:val="4"/>
                <w:sz w:val="22"/>
                <w:szCs w:val="22"/>
              </w:rPr>
              <w:t>Josiane Cristina Bernardi</w:t>
            </w:r>
          </w:p>
        </w:tc>
      </w:tr>
      <w:tr w:rsidR="0016453E" w:rsidRPr="00C21EA8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57E12" w:rsidP="00A01A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secretária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Geral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Josiane apresenta minuta de portaria normativa específica sobre diárias para convidados do 21º Congresso Brasileiro de Arquitetos. Apresenta proposta de utilização da verba do imobilizado para custeio de hospedagem e diárias/ajuda de custos de convidados e locação de espaços. A comissão aprova.</w:t>
            </w:r>
            <w:r w:rsidR="00A01A2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16453E" w:rsidRPr="00C21EA8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Prêmio CAU</w:t>
            </w:r>
          </w:p>
        </w:tc>
      </w:tr>
      <w:tr w:rsidR="0016453E" w:rsidRPr="00C21EA8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16453E" w:rsidRPr="00C21EA8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16453E" w:rsidRPr="00C21EA8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57E12" w:rsidP="00157E1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Secretária Geral </w:t>
            </w:r>
            <w:r w:rsidRPr="00157E12">
              <w:rPr>
                <w:rFonts w:asciiTheme="minorHAnsi" w:hAnsiTheme="minorHAnsi"/>
                <w:sz w:val="22"/>
                <w:szCs w:val="22"/>
              </w:rPr>
              <w:t>Josiane Bernardi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informa que serão realizadas reuniões com a Associação de Escultores do Rio Grande do Sul e com a Associação Chico Lisboa, com o intuito de iniciar tratativas para andamento a edital para escolha do artista e obra de arte, que será o troféu para o Prêmio CAU/RS.  </w:t>
            </w:r>
          </w:p>
        </w:tc>
      </w:tr>
    </w:tbl>
    <w:p w:rsidR="00DB292D" w:rsidRDefault="00DB292D" w:rsidP="007F0D7E">
      <w:pPr>
        <w:jc w:val="both"/>
        <w:rPr>
          <w:rFonts w:asciiTheme="minorHAnsi" w:hAnsiTheme="minorHAnsi"/>
          <w:b/>
          <w:sz w:val="22"/>
          <w:szCs w:val="22"/>
        </w:rPr>
      </w:pPr>
    </w:p>
    <w:p w:rsidR="00A93DC7" w:rsidRPr="00C21EA8" w:rsidRDefault="00A93DC7" w:rsidP="007F0D7E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6090" w:type="dxa"/>
        <w:tblInd w:w="-6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8"/>
        <w:gridCol w:w="2014"/>
        <w:gridCol w:w="2273"/>
        <w:gridCol w:w="211"/>
        <w:gridCol w:w="4396"/>
        <w:gridCol w:w="211"/>
        <w:gridCol w:w="148"/>
        <w:gridCol w:w="6729"/>
      </w:tblGrid>
      <w:tr w:rsidR="007F0D7E" w:rsidRPr="00C21EA8" w:rsidTr="00194392"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9253" w:type="dxa"/>
            <w:gridSpan w:val="6"/>
            <w:shd w:val="clear" w:color="auto" w:fill="F2F2F2" w:themeFill="background1" w:themeFillShade="F2"/>
            <w:vAlign w:val="center"/>
          </w:tcPr>
          <w:p w:rsidR="007F0D7E" w:rsidRPr="00C21EA8" w:rsidRDefault="00C13B3B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Comunicações</w:t>
            </w:r>
          </w:p>
        </w:tc>
      </w:tr>
      <w:tr w:rsidR="00467BB6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67BB6" w:rsidRPr="00C21EA8" w:rsidRDefault="00467BB6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467BB6" w:rsidRPr="00C21EA8" w:rsidRDefault="00467BB6" w:rsidP="00467BB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Presidência</w:t>
            </w:r>
          </w:p>
        </w:tc>
      </w:tr>
      <w:tr w:rsidR="00467BB6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67BB6" w:rsidRPr="00C21EA8" w:rsidRDefault="00467BB6" w:rsidP="00467BB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467BB6" w:rsidRPr="00C21EA8" w:rsidRDefault="00467BB6" w:rsidP="00467BB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 xml:space="preserve">Tiago Holzmann da Silva </w:t>
            </w:r>
          </w:p>
        </w:tc>
      </w:tr>
      <w:tr w:rsidR="00C623A6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21EA8" w:rsidRDefault="00C623A6" w:rsidP="00C623A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C623A6" w:rsidRPr="00157E12" w:rsidRDefault="00157E12" w:rsidP="0019439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7E12">
              <w:rPr>
                <w:rFonts w:asciiTheme="minorHAnsi" w:hAnsiTheme="minorHAnsi"/>
                <w:sz w:val="22"/>
                <w:szCs w:val="22"/>
              </w:rPr>
              <w:t xml:space="preserve">O presidente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informa que na próxima sexta-feira, será realizada a 2ª Reunião do Fórum de Entidades. </w:t>
            </w:r>
            <w:r w:rsidR="00194392">
              <w:rPr>
                <w:rFonts w:asciiTheme="minorHAnsi" w:hAnsiTheme="minorHAnsi"/>
                <w:sz w:val="22"/>
                <w:szCs w:val="22"/>
              </w:rPr>
              <w:t xml:space="preserve">Comenta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também </w:t>
            </w:r>
            <w:r w:rsidR="00194392">
              <w:rPr>
                <w:rFonts w:asciiTheme="minorHAnsi" w:hAnsiTheme="minorHAnsi"/>
                <w:sz w:val="22"/>
                <w:szCs w:val="22"/>
              </w:rPr>
              <w:t xml:space="preserve">sobre a realização de outros eventos, informando que os Conselheiros serão convocados para o Seminário de Exercício Profissional, a ocorrer nos dias 29 e 30 de agosto, no Centro Cultural Santa Casa. 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5"/>
            <w:vAlign w:val="center"/>
          </w:tcPr>
          <w:p w:rsidR="0016453E" w:rsidRPr="00C21EA8" w:rsidRDefault="00194392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Oritz relata sobre as atividades da CEP-CAU/RS.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94392" w:rsidP="0019439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Fischer comenta sobre o desenvolvimento do trabalho da Comissão, salientando a realização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videoconferência em que os membros da comissão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apresentaram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dúvidas e apontamentos à convidada Maria Elisa Baptista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sobre a DCN aprovada em reunião da CEF-CAU/BR.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Na ocasião,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os conselheiros e o gerente jurídico Alexandre Noal apresentam suas considerações sobre o parecer técnico.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16453E" w:rsidRPr="00621183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5"/>
            <w:vAlign w:val="center"/>
          </w:tcPr>
          <w:p w:rsidR="0016453E" w:rsidRPr="00C21EA8" w:rsidRDefault="00194392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comenta sobre as demandas da Comissão, salientando que terão reunião amanhã. 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 xml:space="preserve">Comissão de Planejamento e Finanças 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94392" w:rsidP="007820AC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Rômulo comenta sobre as demandas da comissão, dentre as quais,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andamento das definições sobre </w:t>
            </w:r>
            <w:r w:rsidR="007820AC">
              <w:rPr>
                <w:rFonts w:asciiTheme="minorHAnsi" w:eastAsia="MS Mincho" w:hAnsiTheme="minorHAnsi"/>
                <w:sz w:val="22"/>
                <w:szCs w:val="22"/>
              </w:rPr>
              <w:t>honorários de sucumbências. Define-se que a CPFi dará andamento ao tema. Comenta ainda que a comissão aprovou</w:t>
            </w:r>
            <w:r w:rsidR="007820AC">
              <w:rPr>
                <w:rFonts w:asciiTheme="minorHAnsi" w:eastAsia="MS Mincho" w:hAnsiTheme="minorHAnsi"/>
                <w:sz w:val="22"/>
                <w:szCs w:val="22"/>
              </w:rPr>
              <w:t xml:space="preserve"> o texto</w:t>
            </w:r>
            <w:r w:rsidR="007820AC">
              <w:rPr>
                <w:rFonts w:asciiTheme="minorHAnsi" w:eastAsia="MS Mincho" w:hAnsiTheme="minorHAnsi"/>
                <w:sz w:val="22"/>
                <w:szCs w:val="22"/>
              </w:rPr>
              <w:t xml:space="preserve"> da portaria de diárias dos empregados</w:t>
            </w:r>
            <w:r w:rsidR="007820A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7820AC">
              <w:rPr>
                <w:rFonts w:asciiTheme="minorHAnsi" w:eastAsia="MS Mincho" w:hAnsiTheme="minorHAnsi"/>
                <w:sz w:val="22"/>
                <w:szCs w:val="22"/>
              </w:rPr>
              <w:t xml:space="preserve"> O Conselheiro também comenta sobre levantamento da Comissão, quanto a adimplência dos Conselheiros. Define-se que o presidente Tiago entrará em contato com os Conselheiros que estiverem inadimplentes. </w:t>
            </w:r>
            <w:bookmarkStart w:id="0" w:name="_GoBack"/>
            <w:bookmarkEnd w:id="0"/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16453E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Vinícius Vieira de Souza</w:t>
            </w:r>
          </w:p>
        </w:tc>
      </w:tr>
      <w:tr w:rsidR="0016453E" w:rsidRPr="00C21EA8" w:rsidTr="00194392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6453E" w:rsidRPr="00C21EA8" w:rsidRDefault="007820AC" w:rsidP="001645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Vinícius relata sobre as definições quanto ao plano de trabalho da CPUA-CAU/RS. </w:t>
            </w:r>
          </w:p>
        </w:tc>
      </w:tr>
      <w:tr w:rsidR="0016453E" w:rsidRPr="00C21EA8" w:rsidTr="0019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9002" w:type="dxa"/>
            <w:gridSpan w:val="5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16453E" w:rsidRPr="00C21EA8" w:rsidRDefault="0016453E" w:rsidP="0016453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6453E" w:rsidRPr="00C21EA8" w:rsidTr="0019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6453E" w:rsidRPr="00C21EA8" w:rsidTr="0019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6453E" w:rsidRPr="00C21EA8" w:rsidTr="0019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CPUA-CAU/RS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53E" w:rsidRPr="00C21EA8" w:rsidTr="0019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Assessoria: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Secretaria Geral da Mesa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53E" w:rsidRPr="00C21EA8" w:rsidTr="0019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  <w:trHeight w:val="284"/>
        </w:trPr>
        <w:tc>
          <w:tcPr>
            <w:tcW w:w="4606" w:type="dxa"/>
            <w:gridSpan w:val="4"/>
            <w:shd w:val="clear" w:color="auto" w:fill="auto"/>
          </w:tcPr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lastRenderedPageBreak/>
              <w:t>Conselheiros Coordenadores Adjuntos:</w:t>
            </w:r>
          </w:p>
          <w:p w:rsidR="0016453E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NOE VE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</w:t>
            </w: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A COTTA DE MELLO</w:t>
            </w:r>
          </w:p>
          <w:p w:rsidR="0016453E" w:rsidRPr="00C21EA8" w:rsidRDefault="0016453E" w:rsidP="0016453E">
            <w:pPr>
              <w:tabs>
                <w:tab w:val="left" w:pos="338"/>
                <w:tab w:val="center" w:pos="2195"/>
              </w:tabs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ab/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16453E" w:rsidRPr="00C21EA8" w:rsidTr="0019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  <w:trHeight w:val="284"/>
        </w:trPr>
        <w:tc>
          <w:tcPr>
            <w:tcW w:w="4606" w:type="dxa"/>
            <w:gridSpan w:val="4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HELENICE MACEDO DE COUTO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16453E" w:rsidRPr="00C21EA8" w:rsidTr="0019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  <w:trHeight w:val="284"/>
        </w:trPr>
        <w:tc>
          <w:tcPr>
            <w:tcW w:w="4606" w:type="dxa"/>
            <w:gridSpan w:val="4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PRISCILA TERRA QUESADA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ROBERTO LUIZ DECÓ</w:t>
            </w: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Coordenador Adjunto da CPUA-CAU/RS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C21EA8" w:rsidRDefault="00D0142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D01426" w:rsidRPr="00C21EA8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20A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20A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C6207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16</w:t>
    </w:r>
    <w:r w:rsidR="00B22D44">
      <w:rPr>
        <w:rFonts w:ascii="DaxCondensed" w:hAnsi="DaxCondensed" w:cs="Arial"/>
        <w:color w:val="386C71"/>
        <w:sz w:val="20"/>
        <w:szCs w:val="20"/>
      </w:rPr>
      <w:t>4</w:t>
    </w:r>
    <w:r w:rsidR="00AE39B0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Default="00AE39B0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</w:t>
    </w:r>
    <w:r w:rsidR="002A32A5">
      <w:rPr>
        <w:rFonts w:ascii="DaxCondensed" w:hAnsi="DaxCondensed" w:cs="Arial"/>
        <w:color w:val="386C71"/>
        <w:sz w:val="20"/>
        <w:szCs w:val="20"/>
      </w:rPr>
      <w:t xml:space="preserve">                   SÚMULA DA 16</w:t>
    </w:r>
    <w:r w:rsidR="00B22D44">
      <w:rPr>
        <w:rFonts w:ascii="DaxCondensed" w:hAnsi="DaxCondensed" w:cs="Arial"/>
        <w:color w:val="386C71"/>
        <w:sz w:val="20"/>
        <w:szCs w:val="20"/>
      </w:rPr>
      <w:t>4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1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906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37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EA79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B4830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B75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1B21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B25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595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6B4B60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F240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20"/>
  </w:num>
  <w:num w:numId="5">
    <w:abstractNumId w:val="25"/>
  </w:num>
  <w:num w:numId="6">
    <w:abstractNumId w:val="45"/>
  </w:num>
  <w:num w:numId="7">
    <w:abstractNumId w:val="46"/>
  </w:num>
  <w:num w:numId="8">
    <w:abstractNumId w:val="33"/>
  </w:num>
  <w:num w:numId="9">
    <w:abstractNumId w:val="39"/>
  </w:num>
  <w:num w:numId="10">
    <w:abstractNumId w:val="21"/>
  </w:num>
  <w:num w:numId="11">
    <w:abstractNumId w:val="22"/>
  </w:num>
  <w:num w:numId="12">
    <w:abstractNumId w:val="27"/>
  </w:num>
  <w:num w:numId="13">
    <w:abstractNumId w:val="5"/>
  </w:num>
  <w:num w:numId="14">
    <w:abstractNumId w:val="18"/>
  </w:num>
  <w:num w:numId="15">
    <w:abstractNumId w:val="8"/>
  </w:num>
  <w:num w:numId="16">
    <w:abstractNumId w:val="0"/>
  </w:num>
  <w:num w:numId="17">
    <w:abstractNumId w:val="26"/>
  </w:num>
  <w:num w:numId="18">
    <w:abstractNumId w:val="30"/>
  </w:num>
  <w:num w:numId="19">
    <w:abstractNumId w:val="17"/>
  </w:num>
  <w:num w:numId="20">
    <w:abstractNumId w:val="36"/>
  </w:num>
  <w:num w:numId="21">
    <w:abstractNumId w:val="41"/>
  </w:num>
  <w:num w:numId="22">
    <w:abstractNumId w:val="7"/>
  </w:num>
  <w:num w:numId="23">
    <w:abstractNumId w:val="40"/>
  </w:num>
  <w:num w:numId="24">
    <w:abstractNumId w:val="19"/>
  </w:num>
  <w:num w:numId="25">
    <w:abstractNumId w:val="47"/>
  </w:num>
  <w:num w:numId="26">
    <w:abstractNumId w:val="14"/>
  </w:num>
  <w:num w:numId="27">
    <w:abstractNumId w:val="10"/>
  </w:num>
  <w:num w:numId="28">
    <w:abstractNumId w:val="31"/>
  </w:num>
  <w:num w:numId="29">
    <w:abstractNumId w:val="15"/>
  </w:num>
  <w:num w:numId="30">
    <w:abstractNumId w:val="12"/>
  </w:num>
  <w:num w:numId="31">
    <w:abstractNumId w:val="29"/>
  </w:num>
  <w:num w:numId="32">
    <w:abstractNumId w:val="4"/>
  </w:num>
  <w:num w:numId="33">
    <w:abstractNumId w:val="32"/>
  </w:num>
  <w:num w:numId="34">
    <w:abstractNumId w:val="11"/>
  </w:num>
  <w:num w:numId="35">
    <w:abstractNumId w:val="28"/>
  </w:num>
  <w:num w:numId="36">
    <w:abstractNumId w:val="44"/>
  </w:num>
  <w:num w:numId="37">
    <w:abstractNumId w:val="2"/>
  </w:num>
  <w:num w:numId="38">
    <w:abstractNumId w:val="16"/>
  </w:num>
  <w:num w:numId="39">
    <w:abstractNumId w:val="38"/>
  </w:num>
  <w:num w:numId="40">
    <w:abstractNumId w:val="43"/>
  </w:num>
  <w:num w:numId="41">
    <w:abstractNumId w:val="23"/>
  </w:num>
  <w:num w:numId="42">
    <w:abstractNumId w:val="6"/>
  </w:num>
  <w:num w:numId="43">
    <w:abstractNumId w:val="37"/>
  </w:num>
  <w:num w:numId="44">
    <w:abstractNumId w:val="42"/>
  </w:num>
  <w:num w:numId="45">
    <w:abstractNumId w:val="1"/>
  </w:num>
  <w:num w:numId="46">
    <w:abstractNumId w:val="9"/>
  </w:num>
  <w:num w:numId="47">
    <w:abstractNumId w:val="3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5FD"/>
    <w:rsid w:val="001778C5"/>
    <w:rsid w:val="00180FB9"/>
    <w:rsid w:val="00194392"/>
    <w:rsid w:val="001979E1"/>
    <w:rsid w:val="00197C29"/>
    <w:rsid w:val="001A3A05"/>
    <w:rsid w:val="001B01D5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43C3E"/>
    <w:rsid w:val="00244521"/>
    <w:rsid w:val="0025172A"/>
    <w:rsid w:val="0025277E"/>
    <w:rsid w:val="00255166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12E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0B01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D2428"/>
    <w:rsid w:val="005D2FBE"/>
    <w:rsid w:val="005D3D88"/>
    <w:rsid w:val="005D4125"/>
    <w:rsid w:val="005D481E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7F705E"/>
    <w:rsid w:val="00804A7B"/>
    <w:rsid w:val="00805FC1"/>
    <w:rsid w:val="0081283D"/>
    <w:rsid w:val="00823AF7"/>
    <w:rsid w:val="00825A0E"/>
    <w:rsid w:val="00834A5C"/>
    <w:rsid w:val="00835E1C"/>
    <w:rsid w:val="008400FA"/>
    <w:rsid w:val="00840D65"/>
    <w:rsid w:val="0084383D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0688"/>
    <w:rsid w:val="008E1728"/>
    <w:rsid w:val="008E1823"/>
    <w:rsid w:val="008E33DC"/>
    <w:rsid w:val="008F159C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1A2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93DC7"/>
    <w:rsid w:val="00AA4CEB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1EA8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593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859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821CA"/>
    <w:rsid w:val="00F84F8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0CE4-306F-49F9-B49A-D7F4C266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39</cp:revision>
  <cp:lastPrinted>2019-04-17T19:56:00Z</cp:lastPrinted>
  <dcterms:created xsi:type="dcterms:W3CDTF">2019-03-13T15:02:00Z</dcterms:created>
  <dcterms:modified xsi:type="dcterms:W3CDTF">2019-07-31T18:36:00Z</dcterms:modified>
</cp:coreProperties>
</file>