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</w:t>
      </w:r>
      <w:r w:rsidR="00A20E0E">
        <w:rPr>
          <w:rFonts w:ascii="Times New Roman" w:hAnsi="Times New Roman"/>
          <w:sz w:val="22"/>
          <w:szCs w:val="22"/>
        </w:rPr>
        <w:t>4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3407"/>
        <w:gridCol w:w="1701"/>
        <w:gridCol w:w="2250"/>
      </w:tblGrid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A20E0E" w:rsidP="00A20E0E">
            <w:pPr>
              <w:ind w:right="-7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setembro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1056D3">
              <w:rPr>
                <w:rFonts w:ascii="Times New Roman" w:eastAsia="MS Mincho" w:hAnsi="Times New Roman"/>
                <w:sz w:val="22"/>
                <w:szCs w:val="22"/>
              </w:rPr>
              <w:t>quarta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5DAA" w:rsidRPr="005F129E" w:rsidTr="001056D3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DAA" w:rsidRPr="005F129E" w:rsidRDefault="00525DAA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20E0E" w:rsidRPr="005F129E" w:rsidTr="001056D3">
        <w:trPr>
          <w:trHeight w:val="123"/>
        </w:trPr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0E0E" w:rsidRPr="005F129E" w:rsidRDefault="00A20E0E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0E0E" w:rsidRDefault="00A20E0E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0E0E" w:rsidRDefault="00A20E0E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25DAA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A20E0E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A20E0E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25DAA" w:rsidRPr="005F129E" w:rsidTr="00A3287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A625F2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25DAA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00197" w:rsidRPr="005F129E" w:rsidTr="00600197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0197" w:rsidRPr="005F129E" w:rsidRDefault="00600197" w:rsidP="00600197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197" w:rsidRPr="00CA61CF" w:rsidRDefault="00600197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Lorensini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197" w:rsidRPr="00CA61CF" w:rsidRDefault="00600197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Agente de Fiscalização</w:t>
            </w:r>
          </w:p>
        </w:tc>
      </w:tr>
      <w:tr w:rsidR="00600197" w:rsidRPr="005F129E" w:rsidTr="005813C8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197" w:rsidRDefault="00600197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197" w:rsidRDefault="00600197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Volker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197" w:rsidRDefault="00600197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00197" w:rsidRPr="005F129E" w:rsidTr="00A23BA2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197" w:rsidRPr="005F129E" w:rsidRDefault="00600197" w:rsidP="0060019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197" w:rsidRPr="00CA61CF" w:rsidRDefault="00600197" w:rsidP="0060019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197" w:rsidRPr="00CA61CF" w:rsidRDefault="00600197" w:rsidP="0060019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5422F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A reunião inicia 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607C4A">
              <w:rPr>
                <w:rFonts w:ascii="Times New Roman" w:eastAsia="MS Mincho" w:hAnsi="Times New Roman"/>
                <w:sz w:val="22"/>
                <w:szCs w:val="22"/>
              </w:rPr>
              <w:t xml:space="preserve">Registra-se </w:t>
            </w:r>
            <w:r w:rsidR="005422F1">
              <w:rPr>
                <w:rFonts w:ascii="Times New Roman" w:eastAsia="MS Mincho" w:hAnsi="Times New Roman"/>
                <w:sz w:val="22"/>
                <w:szCs w:val="22"/>
              </w:rPr>
              <w:t xml:space="preserve">a ausência justificada de Lucas </w:t>
            </w:r>
            <w:proofErr w:type="spellStart"/>
            <w:r w:rsidR="005422F1"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  <w:r w:rsidR="005422F1">
              <w:rPr>
                <w:rFonts w:ascii="Times New Roman" w:eastAsia="MS Mincho" w:hAnsi="Times New Roman"/>
                <w:sz w:val="22"/>
                <w:szCs w:val="22"/>
              </w:rPr>
              <w:t xml:space="preserve"> e Eduard</w:t>
            </w:r>
            <w:r w:rsidR="0051657F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5422F1">
              <w:rPr>
                <w:rFonts w:ascii="Times New Roman" w:eastAsia="MS Mincho" w:hAnsi="Times New Roman"/>
                <w:sz w:val="22"/>
                <w:szCs w:val="22"/>
              </w:rPr>
              <w:t xml:space="preserve"> Hahn</w:t>
            </w:r>
            <w:r w:rsidR="00D47D23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417D93" w:rsidRDefault="005422F1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22F1"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5422F1" w:rsidP="00A46D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Participou do Seminário Nacional de Patrimônio Histórico organizado pela Associação Vitor Fabiano Oliveira da Costa. Acompanhou palestra sobre análise da</w:t>
            </w:r>
            <w:r w:rsidR="00A44E51">
              <w:rPr>
                <w:rFonts w:ascii="Times New Roman" w:eastAsia="MS Mincho" w:hAnsi="Times New Roman"/>
                <w:sz w:val="22"/>
                <w:szCs w:val="22"/>
              </w:rPr>
              <w:t xml:space="preserve"> Lei de 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nventário a qual apontou pontos negativos e positivos da lei</w:t>
            </w:r>
            <w:r w:rsidR="00A46D3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46D39">
              <w:rPr>
                <w:rFonts w:ascii="Times New Roman" w:eastAsia="MS Mincho" w:hAnsi="Times New Roman"/>
                <w:sz w:val="22"/>
                <w:szCs w:val="22"/>
              </w:rPr>
              <w:t>bem como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peculiaridades negativas dos processos de inventaria</w:t>
            </w:r>
            <w:r w:rsidR="0051657F">
              <w:rPr>
                <w:rFonts w:ascii="Times New Roman" w:eastAsia="MS Mincho" w:hAnsi="Times New Roman"/>
                <w:sz w:val="22"/>
                <w:szCs w:val="22"/>
              </w:rPr>
              <w:t>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</w:t>
            </w:r>
            <w:r w:rsidR="0051657F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imóveis. </w:t>
            </w:r>
          </w:p>
        </w:tc>
      </w:tr>
      <w:tr w:rsidR="005422F1" w:rsidRPr="005F129E" w:rsidTr="0068243C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22F1" w:rsidRPr="005F129E" w:rsidRDefault="005422F1" w:rsidP="006824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5422F1" w:rsidRPr="00417D93" w:rsidRDefault="005422F1" w:rsidP="0068243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22F1"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5422F1" w:rsidRPr="005F129E" w:rsidTr="0068243C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22F1" w:rsidRDefault="00A44E51" w:rsidP="006824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5422F1" w:rsidRDefault="005422F1" w:rsidP="006824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Participou do Seminário das Missões e elogiou a realização do mesmo.</w:t>
            </w:r>
          </w:p>
        </w:tc>
      </w:tr>
      <w:tr w:rsidR="005422F1" w:rsidRPr="005F129E" w:rsidTr="0068243C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22F1" w:rsidRPr="005F129E" w:rsidRDefault="005422F1" w:rsidP="006824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5422F1" w:rsidRPr="00417D93" w:rsidRDefault="005422F1" w:rsidP="0068243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22F1"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5422F1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22F1" w:rsidRDefault="00A44E51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5422F1" w:rsidRDefault="00A44E51" w:rsidP="005422F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Relata a boa repercussão da Caminhada da Perda nas universidades. </w:t>
            </w:r>
          </w:p>
        </w:tc>
      </w:tr>
      <w:tr w:rsidR="00B36A54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6A54" w:rsidRPr="005F129E" w:rsidRDefault="00B36A54" w:rsidP="00B36A5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B36A54" w:rsidRDefault="00B36A54" w:rsidP="00B36A5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422F1"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B36A54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6A54" w:rsidRDefault="00B36A54" w:rsidP="00B36A5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B36A54" w:rsidRDefault="00B36A54" w:rsidP="00B36A5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Relata problemas de especulação imobiliária em Canela que prejudicam o patrimônio histórico em virtude do controle de expansão imobiliária em Gramado.</w:t>
            </w: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4F7736" w:rsidRDefault="004F7736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7736">
              <w:rPr>
                <w:rFonts w:ascii="Times New Roman" w:eastAsia="MS Mincho" w:hAnsi="Times New Roman"/>
                <w:b/>
                <w:sz w:val="22"/>
                <w:szCs w:val="22"/>
              </w:rPr>
              <w:t>Caso Montenegro/RS</w:t>
            </w:r>
          </w:p>
        </w:tc>
      </w:tr>
      <w:tr w:rsidR="00F9478B" w:rsidRPr="005F129E" w:rsidTr="0065505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Lorensini</w:t>
            </w:r>
            <w:proofErr w:type="spellEnd"/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4F7736" w:rsidRDefault="004F7736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7736">
              <w:rPr>
                <w:rFonts w:ascii="Times New Roman" w:hAnsi="Times New Roman"/>
                <w:b/>
                <w:sz w:val="22"/>
                <w:szCs w:val="22"/>
              </w:rPr>
              <w:t>Prédio da Antiga Alfândega</w:t>
            </w:r>
          </w:p>
        </w:tc>
      </w:tr>
      <w:tr w:rsidR="00F9478B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37C4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40" w:rsidRPr="005F129E" w:rsidRDefault="00E37C40" w:rsidP="00E37C4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C40" w:rsidRPr="00B73EF6" w:rsidRDefault="0051657F" w:rsidP="00E37C4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657F">
              <w:rPr>
                <w:rFonts w:ascii="Times New Roman" w:eastAsia="MS Mincho" w:hAnsi="Times New Roman"/>
                <w:b/>
                <w:sz w:val="22"/>
                <w:szCs w:val="22"/>
              </w:rPr>
              <w:t>Artigo para o evento 11º Mestres e Conselheiros e Artigo de Cachoeira do Sul</w:t>
            </w:r>
          </w:p>
        </w:tc>
      </w:tr>
      <w:tr w:rsidR="00E37C4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40" w:rsidRPr="005F129E" w:rsidRDefault="00E37C40" w:rsidP="00E37C4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C40" w:rsidRDefault="00D47D23" w:rsidP="00E37C4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D47D23" w:rsidRDefault="00FB5E02" w:rsidP="00F9478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Moinho </w:t>
            </w:r>
            <w:proofErr w:type="spellStart"/>
            <w:r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>Covolan</w:t>
            </w:r>
            <w:proofErr w:type="spellEnd"/>
            <w:r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F9478B">
              <w:rPr>
                <w:rFonts w:ascii="Times New Roman" w:eastAsia="MS Mincho" w:hAnsi="Times New Roman"/>
                <w:b/>
                <w:sz w:val="22"/>
                <w:szCs w:val="22"/>
              </w:rPr>
              <w:t>em</w:t>
            </w:r>
            <w:r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Farroupilha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Default="00FB5E02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D47D23" w:rsidRDefault="00FB5E02" w:rsidP="00FB5E0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>Semana Patrimônio Cultural do IPHAN 25 a 28 de outubro</w:t>
            </w:r>
          </w:p>
        </w:tc>
      </w:tr>
      <w:tr w:rsidR="00FB5E02" w:rsidRPr="005F129E" w:rsidTr="00A4114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D47D23" w:rsidRDefault="00FB5E02" w:rsidP="00FB5E0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Caminhada da Perda </w:t>
            </w:r>
            <w:r w:rsidR="00EA71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no CBA e </w:t>
            </w:r>
            <w:r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>em eventos regionais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Default="00FB5E02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D47D23" w:rsidRDefault="00FB5E02" w:rsidP="00FB5E0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Rede de promoção e proteção ao patrimônio </w:t>
            </w:r>
          </w:p>
        </w:tc>
      </w:tr>
      <w:tr w:rsidR="00A1279C" w:rsidRPr="005F129E" w:rsidTr="006620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79C" w:rsidRPr="005F129E" w:rsidRDefault="00A1279C" w:rsidP="00A127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79C" w:rsidRPr="005F129E" w:rsidRDefault="00A1279C" w:rsidP="00A127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600197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197" w:rsidRPr="005F129E" w:rsidRDefault="00600197" w:rsidP="0060019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0197" w:rsidRPr="00A1279C" w:rsidRDefault="00600197" w:rsidP="006001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279C">
              <w:rPr>
                <w:rFonts w:ascii="Times New Roman" w:eastAsia="MS Mincho" w:hAnsi="Times New Roman"/>
                <w:b/>
                <w:sz w:val="22"/>
                <w:szCs w:val="22"/>
              </w:rPr>
              <w:t>Ofício nº 391/2019</w:t>
            </w:r>
          </w:p>
        </w:tc>
      </w:tr>
      <w:tr w:rsidR="00CB777C" w:rsidRPr="005F129E" w:rsidTr="00D442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777C" w:rsidRPr="005F129E" w:rsidRDefault="00CB777C" w:rsidP="00CB77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777C" w:rsidRPr="005F129E" w:rsidRDefault="00CB777C" w:rsidP="00CB777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5E02" w:rsidRPr="005F129E" w:rsidRDefault="00FB5E02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5E02" w:rsidRPr="005F129E" w:rsidTr="008C1E6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600197">
            <w:pPr>
              <w:pStyle w:val="PargrafodaLista"/>
              <w:numPr>
                <w:ilvl w:val="0"/>
                <w:numId w:val="19"/>
              </w:numPr>
              <w:ind w:left="39" w:firstLine="32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B5E02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7B3EFB" w:rsidRDefault="00FB5E02" w:rsidP="00600197">
            <w:pPr>
              <w:pStyle w:val="PargrafodaLista"/>
              <w:numPr>
                <w:ilvl w:val="1"/>
                <w:numId w:val="19"/>
              </w:numPr>
              <w:ind w:left="39" w:firstLine="32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Retorno sobre ofícios e memorandos</w:t>
            </w:r>
          </w:p>
        </w:tc>
      </w:tr>
      <w:tr w:rsidR="00F9478B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5315B6" w:rsidP="00FB5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r w:rsidR="00F9478B">
              <w:rPr>
                <w:rFonts w:ascii="Times New Roman" w:eastAsia="MS Mincho" w:hAnsi="Times New Roman"/>
                <w:sz w:val="22"/>
                <w:szCs w:val="22"/>
              </w:rPr>
              <w:t xml:space="preserve">Nataly Santos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Lima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FB5E02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analisa o retorno dos </w:t>
            </w:r>
            <w:r w:rsidR="0071236E">
              <w:rPr>
                <w:rFonts w:ascii="Times New Roman" w:eastAsia="MS Mincho" w:hAnsi="Times New Roman"/>
                <w:sz w:val="22"/>
                <w:szCs w:val="22"/>
              </w:rPr>
              <w:t>ofícios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enviados pela CTPH e sugere apurar se realmente foram respondidos, e caso não houve retorno,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reenviá-los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solicitando urgência de resposta dado o estado avançado de degradação dos bens. Caso não haja nova resposta a comissão sugere acionar o Ministério Público buscando ações imediatas.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FB5E02" w:rsidP="0060019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Fazer levantamento dos ofícios necessários a reencaminhar</w:t>
            </w:r>
            <w:r w:rsidR="00600197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definir com a presidência e pautar para próxima reunião.</w:t>
            </w:r>
            <w:r w:rsidR="006E19C1">
              <w:rPr>
                <w:rFonts w:ascii="Times New Roman" w:eastAsia="MS Mincho" w:hAnsi="Times New Roman"/>
                <w:sz w:val="22"/>
                <w:szCs w:val="22"/>
              </w:rPr>
              <w:t xml:space="preserve"> Incluir nos ofícios prazo para resposta.</w:t>
            </w:r>
          </w:p>
        </w:tc>
      </w:tr>
      <w:tr w:rsidR="00FB5E02" w:rsidRPr="005F129E" w:rsidTr="00B766F2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FB5E02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FB5E02" w:rsidRPr="005F129E" w:rsidTr="00B766F2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5E02" w:rsidRPr="005F129E" w:rsidRDefault="00FB5E02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5E02" w:rsidRPr="005F129E" w:rsidTr="00001034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B766F2" w:rsidRDefault="00FB5E02" w:rsidP="00FB5E02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66F2">
              <w:rPr>
                <w:rFonts w:ascii="Times New Roman" w:eastAsia="MS Mincho" w:hAnsi="Times New Roman"/>
                <w:b/>
                <w:sz w:val="22"/>
                <w:szCs w:val="22"/>
              </w:rPr>
              <w:t>Edital de Patrocínio de Patrimônio</w:t>
            </w:r>
          </w:p>
        </w:tc>
      </w:tr>
      <w:tr w:rsidR="00FB5E02" w:rsidRPr="005F129E" w:rsidTr="00597329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B5E02" w:rsidRPr="005F129E" w:rsidTr="00597329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112C20" w:rsidP="00FB5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Volker</w:t>
            </w:r>
          </w:p>
        </w:tc>
      </w:tr>
      <w:tr w:rsidR="00FB5E02" w:rsidRPr="005F129E" w:rsidTr="00597329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112C20" w:rsidP="006E1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analisam o edital</w:t>
            </w:r>
            <w:r w:rsidR="002C4999">
              <w:rPr>
                <w:rFonts w:ascii="Times New Roman" w:eastAsia="MS Mincho" w:hAnsi="Times New Roman"/>
                <w:sz w:val="22"/>
                <w:szCs w:val="22"/>
              </w:rPr>
              <w:t xml:space="preserve"> do CAU/MG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C4999">
              <w:rPr>
                <w:rFonts w:ascii="Times New Roman" w:eastAsia="MS Mincho" w:hAnsi="Times New Roman"/>
                <w:sz w:val="22"/>
                <w:szCs w:val="22"/>
              </w:rPr>
              <w:t xml:space="preserve">de patrocínio a propostas de incentivos ao patrimônio histórico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as premiações</w:t>
            </w:r>
            <w:r w:rsidR="002C4999">
              <w:rPr>
                <w:rFonts w:ascii="Times New Roman" w:eastAsia="MS Mincho" w:hAnsi="Times New Roman"/>
                <w:sz w:val="22"/>
                <w:szCs w:val="22"/>
              </w:rPr>
              <w:t xml:space="preserve"> que constam no edital. Sugerem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contato com a equipe </w:t>
            </w:r>
            <w:r w:rsidR="006E19C1">
              <w:rPr>
                <w:rFonts w:ascii="Times New Roman" w:eastAsia="MS Mincho" w:hAnsi="Times New Roman"/>
                <w:sz w:val="22"/>
                <w:szCs w:val="22"/>
              </w:rPr>
              <w:t>para tratar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sobre alguns pontos do edital</w:t>
            </w:r>
            <w:r w:rsidR="002C4999">
              <w:rPr>
                <w:rFonts w:ascii="Times New Roman" w:eastAsia="MS Mincho" w:hAnsi="Times New Roman"/>
                <w:sz w:val="22"/>
                <w:szCs w:val="22"/>
              </w:rPr>
              <w:t>. Propõem fazer um edital semelhante no CAU/RS.</w:t>
            </w:r>
          </w:p>
        </w:tc>
      </w:tr>
      <w:tr w:rsidR="00FB5E02" w:rsidRPr="005F129E" w:rsidTr="00597329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2C4999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Sugerir à presidência um edital de patrocínio que envolva incentivo ao patrimônio histórico, nos moldes do edital feito pelo CAU/MG.</w:t>
            </w:r>
          </w:p>
        </w:tc>
      </w:tr>
      <w:tr w:rsidR="00FB5E02" w:rsidRPr="005F129E" w:rsidTr="00597329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B14170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 e Assessoria da comissão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5E02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FB5E02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D76A3C" w:rsidRDefault="00FB5E02" w:rsidP="00FB5E0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76A3C">
              <w:rPr>
                <w:rFonts w:ascii="Times New Roman" w:eastAsia="MS Mincho" w:hAnsi="Times New Roman"/>
                <w:b/>
                <w:sz w:val="22"/>
                <w:szCs w:val="22"/>
              </w:rPr>
              <w:t>Caso Montenegro/RS</w:t>
            </w:r>
          </w:p>
        </w:tc>
      </w:tr>
      <w:tr w:rsidR="00FB5E02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2C4999" w:rsidP="00FB5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Fiscalização</w:t>
            </w:r>
          </w:p>
        </w:tc>
      </w:tr>
      <w:tr w:rsidR="00FB5E02" w:rsidRPr="005F129E" w:rsidTr="00C27366">
        <w:trPr>
          <w:trHeight w:val="13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5E02" w:rsidRPr="005F129E" w:rsidRDefault="00FD7BA6" w:rsidP="00FB5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Lorensini</w:t>
            </w:r>
            <w:proofErr w:type="spellEnd"/>
          </w:p>
        </w:tc>
      </w:tr>
      <w:tr w:rsidR="00FB5E02" w:rsidRPr="005F129E" w:rsidTr="006406FA">
        <w:trPr>
          <w:trHeight w:val="1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19C1" w:rsidRPr="005F129E" w:rsidRDefault="006E19C1" w:rsidP="006E1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fiscal</w:t>
            </w:r>
            <w:r w:rsidR="00FB5E02">
              <w:rPr>
                <w:rFonts w:ascii="Times New Roman" w:eastAsia="MS Mincho" w:hAnsi="Times New Roman"/>
                <w:sz w:val="22"/>
                <w:szCs w:val="22"/>
              </w:rPr>
              <w:t xml:space="preserve"> relatou de obra em um imóvel de um complexo tombado pelo IPHAE em lote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</w:t>
            </w:r>
            <w:r w:rsidR="00FB5E02">
              <w:rPr>
                <w:rFonts w:ascii="Times New Roman" w:eastAsia="MS Mincho" w:hAnsi="Times New Roman"/>
                <w:sz w:val="22"/>
                <w:szCs w:val="22"/>
              </w:rPr>
              <w:t xml:space="preserve"> cota eleva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da, que repercute em escavação n</w:t>
            </w:r>
            <w:r w:rsidR="00FB5E02">
              <w:rPr>
                <w:rFonts w:ascii="Times New Roman" w:eastAsia="MS Mincho" w:hAnsi="Times New Roman"/>
                <w:sz w:val="22"/>
                <w:szCs w:val="22"/>
              </w:rPr>
              <w:t xml:space="preserve">o terreno do complexo em plataforma de embarque. Foi feito contato com a secretaria de obras da cidade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FB5E02">
              <w:rPr>
                <w:rFonts w:ascii="Times New Roman" w:eastAsia="MS Mincho" w:hAnsi="Times New Roman"/>
                <w:sz w:val="22"/>
                <w:szCs w:val="22"/>
              </w:rPr>
              <w:t xml:space="preserve"> funcionário informou que solicit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ara</w:t>
            </w:r>
            <w:r w:rsidR="00FB5E0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FB5E02">
              <w:rPr>
                <w:rFonts w:ascii="Times New Roman" w:eastAsia="MS Mincho" w:hAnsi="Times New Roman"/>
                <w:sz w:val="22"/>
                <w:szCs w:val="22"/>
              </w:rPr>
              <w:t xml:space="preserve">verificação do local. </w:t>
            </w:r>
            <w:r w:rsidR="00A36BFC">
              <w:rPr>
                <w:rFonts w:ascii="Times New Roman" w:eastAsia="MS Mincho" w:hAnsi="Times New Roman"/>
                <w:sz w:val="22"/>
                <w:szCs w:val="22"/>
              </w:rPr>
              <w:t xml:space="preserve">Questiona-se que tipos de profissionais participam e comandam tais obras,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A36BFC">
              <w:rPr>
                <w:rFonts w:ascii="Times New Roman" w:eastAsia="MS Mincho" w:hAnsi="Times New Roman"/>
                <w:sz w:val="22"/>
                <w:szCs w:val="22"/>
              </w:rPr>
              <w:t xml:space="preserve"> responsáveis técnicos, para correção do problema,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uma vez</w:t>
            </w:r>
            <w:r w:rsidR="00A36BFC">
              <w:rPr>
                <w:rFonts w:ascii="Times New Roman" w:eastAsia="MS Mincho" w:hAnsi="Times New Roman"/>
                <w:sz w:val="22"/>
                <w:szCs w:val="22"/>
              </w:rPr>
              <w:t xml:space="preserve"> que se trata de um complexo tombado. Sugere-se manifestação do IPHAE a indicar a delimitação da atuação do arquiteto neste tipo de intervenção. </w:t>
            </w:r>
          </w:p>
        </w:tc>
      </w:tr>
      <w:tr w:rsidR="00FB5E02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6BFC" w:rsidRPr="005F129E" w:rsidRDefault="00A36BFC" w:rsidP="002C49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solicitando envio de ofício ao IPHAE, Ministério Público (promotoria do local), relatando o</w:t>
            </w:r>
            <w:r w:rsidR="006E19C1">
              <w:rPr>
                <w:rFonts w:ascii="Times New Roman" w:eastAsia="MS Mincho" w:hAnsi="Times New Roman"/>
                <w:sz w:val="22"/>
                <w:szCs w:val="22"/>
              </w:rPr>
              <w:t xml:space="preserve">s pontos levantados pelo fiscal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que não foi possível identifi</w:t>
            </w:r>
            <w:r w:rsidR="006E19C1">
              <w:rPr>
                <w:rFonts w:ascii="Times New Roman" w:eastAsia="MS Mincho" w:hAnsi="Times New Roman"/>
                <w:sz w:val="22"/>
                <w:szCs w:val="22"/>
              </w:rPr>
              <w:t>car responsabilidade técnica. 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olicitar posicionamento quanto às atividades técnicas dos profissionais.</w:t>
            </w:r>
            <w:r w:rsidR="002C499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Verificar também se realmente houve embargo da obra.</w:t>
            </w:r>
          </w:p>
        </w:tc>
      </w:tr>
      <w:tr w:rsidR="00FB5E02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5E02" w:rsidRPr="005F129E" w:rsidRDefault="00FB5E02" w:rsidP="00FB5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5E02" w:rsidRPr="005F129E" w:rsidRDefault="002B1CC6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6E19C1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FB5E02" w:rsidRPr="005F129E" w:rsidTr="00B808CB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B5E02" w:rsidRPr="005F129E" w:rsidRDefault="00FB5E02" w:rsidP="00FB5E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12C20" w:rsidRPr="005F129E" w:rsidTr="00200A9E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2C20" w:rsidRPr="00B73EF6" w:rsidRDefault="00112C20" w:rsidP="00B6004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</w:t>
            </w:r>
            <w:r w:rsidR="00B6004A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B14170" w:rsidRPr="004F7736">
              <w:rPr>
                <w:rFonts w:ascii="Times New Roman" w:hAnsi="Times New Roman"/>
                <w:b/>
                <w:sz w:val="22"/>
                <w:szCs w:val="22"/>
              </w:rPr>
              <w:t>Prédio da Antiga Alfândega</w:t>
            </w:r>
          </w:p>
        </w:tc>
      </w:tr>
      <w:tr w:rsidR="00112C20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2C20" w:rsidRPr="005F129E" w:rsidRDefault="00112C20" w:rsidP="00112C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2C20" w:rsidRPr="005F129E" w:rsidRDefault="00F9478B" w:rsidP="00112C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F9478B" w:rsidRPr="005F129E" w:rsidTr="00EE260B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12C20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2C20" w:rsidRPr="005F129E" w:rsidRDefault="00112C20" w:rsidP="00112C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2C20" w:rsidRPr="005F129E" w:rsidRDefault="00B14170" w:rsidP="00B1417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Sugere a urgência na elaboração do ofício com as contribuições enviadas pelos membros da comissão e envio.</w:t>
            </w:r>
          </w:p>
        </w:tc>
      </w:tr>
      <w:tr w:rsidR="00112C20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2C20" w:rsidRPr="005F129E" w:rsidRDefault="00112C20" w:rsidP="00112C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2C20" w:rsidRPr="005F129E" w:rsidRDefault="00B14170" w:rsidP="00112C2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ofício e enviar</w:t>
            </w:r>
          </w:p>
        </w:tc>
      </w:tr>
      <w:tr w:rsidR="00112C20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2C20" w:rsidRPr="005F129E" w:rsidRDefault="00112C20" w:rsidP="00112C2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2C20" w:rsidRPr="005F129E" w:rsidRDefault="00B14170" w:rsidP="00112C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5315B6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F9478B" w:rsidRPr="005F129E" w:rsidTr="0068243C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9478B" w:rsidRPr="005F129E" w:rsidRDefault="00F9478B" w:rsidP="006824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9478B" w:rsidRPr="00B14170" w:rsidTr="0068243C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B73EF6" w:rsidRDefault="00B6004A" w:rsidP="00F9478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5.3</w:t>
            </w:r>
            <w:r w:rsidR="00F9478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Artigo </w:t>
            </w:r>
            <w:r w:rsidR="0051657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para o evento 11º </w:t>
            </w:r>
            <w:r w:rsidR="00F9478B">
              <w:rPr>
                <w:rFonts w:ascii="Times New Roman" w:eastAsia="MS Mincho" w:hAnsi="Times New Roman"/>
                <w:b/>
                <w:sz w:val="22"/>
                <w:szCs w:val="22"/>
              </w:rPr>
              <w:t>Mestre</w:t>
            </w:r>
            <w:r w:rsidR="0051657F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="00F9478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Conselheiro</w:t>
            </w:r>
            <w:r w:rsidR="0051657F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="00F9478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Artigo de Cachoeira do Sul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F9478B" w:rsidRPr="002003A8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2003A8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tempo hábil para tratar do tema incluído em pauta.</w:t>
            </w:r>
          </w:p>
        </w:tc>
      </w:tr>
      <w:tr w:rsidR="00F9478B" w:rsidRPr="00066AD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066ADE" w:rsidRDefault="00F9478B" w:rsidP="00F9478B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F9478B" w:rsidRPr="005F129E" w:rsidTr="0068243C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9478B" w:rsidRPr="005F129E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9478B" w:rsidRPr="00E8688F" w:rsidTr="0068243C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D47D23" w:rsidRDefault="00B6004A" w:rsidP="00F9478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5.4</w:t>
            </w:r>
            <w:r w:rsidR="00F9478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F9478B"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Moinho </w:t>
            </w:r>
            <w:proofErr w:type="spellStart"/>
            <w:r w:rsidR="00F9478B"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>Covolan</w:t>
            </w:r>
            <w:proofErr w:type="spellEnd"/>
            <w:r w:rsidR="00F9478B"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F9478B">
              <w:rPr>
                <w:rFonts w:ascii="Times New Roman" w:eastAsia="MS Mincho" w:hAnsi="Times New Roman"/>
                <w:b/>
                <w:sz w:val="22"/>
                <w:szCs w:val="22"/>
              </w:rPr>
              <w:t>em</w:t>
            </w:r>
            <w:r w:rsidR="00F9478B"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Farroupilha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9478B" w:rsidRPr="002003A8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2003A8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relata sobre denúncia recebida por e-mail sobre edificação em Farroupilha, e que corre risco de demolição. O assessor jurídico da comissão solicitou acesso ao material.</w:t>
            </w:r>
          </w:p>
        </w:tc>
      </w:tr>
      <w:tr w:rsidR="00F9478B" w:rsidRPr="00066AD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066ADE" w:rsidRDefault="00F9478B" w:rsidP="00F9478B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material à assessoria jurídica e pautar para a próxima reunião.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F9478B" w:rsidRPr="005F129E" w:rsidTr="0068243C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9478B" w:rsidRPr="005F129E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9478B" w:rsidRPr="00E8688F" w:rsidTr="0068243C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F9478B" w:rsidRDefault="00B6004A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5.5</w:t>
            </w:r>
            <w:r w:rsidR="00F9478B" w:rsidRPr="00F9478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Caminhada da perda no CBA e em eventos regionais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EA71C6" w:rsidRPr="005F129E" w:rsidTr="003A0E60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71C6" w:rsidRPr="005F129E" w:rsidRDefault="00EA71C6" w:rsidP="00EA7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71C6" w:rsidRPr="005F129E" w:rsidRDefault="00EA71C6" w:rsidP="00EA71C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F9478B" w:rsidRPr="002003A8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2003A8" w:rsidRDefault="00EA71C6" w:rsidP="00F838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Definem</w:t>
            </w:r>
            <w:r w:rsidR="00F9478B">
              <w:rPr>
                <w:rFonts w:ascii="Times New Roman" w:eastAsia="MS Mincho" w:hAnsi="Times New Roman"/>
                <w:sz w:val="22"/>
                <w:szCs w:val="22"/>
              </w:rPr>
              <w:t xml:space="preserve"> a necessidade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elaboração</w:t>
            </w:r>
            <w:r w:rsidR="00F9478B">
              <w:rPr>
                <w:rFonts w:ascii="Times New Roman" w:eastAsia="MS Mincho" w:hAnsi="Times New Roman"/>
                <w:sz w:val="22"/>
                <w:szCs w:val="22"/>
              </w:rPr>
              <w:t xml:space="preserve"> de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plicativo</w:t>
            </w:r>
            <w:r w:rsidR="00F9478B">
              <w:rPr>
                <w:rFonts w:ascii="Times New Roman" w:eastAsia="MS Mincho" w:hAnsi="Times New Roman"/>
                <w:sz w:val="22"/>
                <w:szCs w:val="22"/>
              </w:rPr>
              <w:t>, imagens, uso de batedores, folder impresso, aquisição de megafone com boa potência e microfone</w:t>
            </w:r>
            <w:r w:rsidR="00F838FF">
              <w:rPr>
                <w:rFonts w:ascii="Times New Roman" w:eastAsia="MS Mincho" w:hAnsi="Times New Roman"/>
                <w:sz w:val="22"/>
                <w:szCs w:val="22"/>
              </w:rPr>
              <w:t xml:space="preserve"> para a realização do evento</w:t>
            </w:r>
            <w:r w:rsidR="00F9478B">
              <w:rPr>
                <w:rFonts w:ascii="Times New Roman" w:eastAsia="MS Mincho" w:hAnsi="Times New Roman"/>
                <w:sz w:val="22"/>
                <w:szCs w:val="22"/>
              </w:rPr>
              <w:t>. Identificar representações nas sedes dos possíveis locais de realizaç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ão do evento, para contato. </w:t>
            </w:r>
            <w:r w:rsidR="00F838FF">
              <w:rPr>
                <w:rFonts w:ascii="Times New Roman" w:eastAsia="MS Mincho" w:hAnsi="Times New Roman"/>
                <w:sz w:val="22"/>
                <w:szCs w:val="22"/>
              </w:rPr>
              <w:t>O Conselheiro Oritz Campos relata que fará</w:t>
            </w:r>
            <w:r w:rsidR="00F9478B">
              <w:rPr>
                <w:rFonts w:ascii="Times New Roman" w:eastAsia="MS Mincho" w:hAnsi="Times New Roman"/>
                <w:sz w:val="22"/>
                <w:szCs w:val="22"/>
              </w:rPr>
              <w:t xml:space="preserve"> contato com </w:t>
            </w:r>
            <w:r w:rsidR="00F9478B" w:rsidRPr="002B1CC6">
              <w:rPr>
                <w:rFonts w:ascii="Times New Roman" w:eastAsia="MS Mincho" w:hAnsi="Times New Roman"/>
                <w:sz w:val="22"/>
                <w:szCs w:val="22"/>
              </w:rPr>
              <w:t xml:space="preserve">Arq. Renata </w:t>
            </w:r>
            <w:proofErr w:type="spellStart"/>
            <w:r w:rsidR="00F9478B" w:rsidRPr="002B1CC6">
              <w:rPr>
                <w:rFonts w:ascii="Times New Roman" w:eastAsia="MS Mincho" w:hAnsi="Times New Roman"/>
                <w:sz w:val="22"/>
                <w:szCs w:val="22"/>
              </w:rPr>
              <w:t>Galbinki</w:t>
            </w:r>
            <w:proofErr w:type="spellEnd"/>
            <w:r w:rsidR="00F9478B" w:rsidRPr="002B1CC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="00F9478B" w:rsidRPr="002B1CC6">
              <w:rPr>
                <w:rFonts w:ascii="Times New Roman" w:eastAsia="MS Mincho" w:hAnsi="Times New Roman"/>
                <w:sz w:val="22"/>
                <w:szCs w:val="22"/>
              </w:rPr>
              <w:t>Horowitz</w:t>
            </w:r>
            <w:proofErr w:type="spellEnd"/>
            <w:r w:rsidR="00F9478B">
              <w:rPr>
                <w:rFonts w:ascii="Times New Roman" w:eastAsia="MS Mincho" w:hAnsi="Times New Roman"/>
                <w:sz w:val="22"/>
                <w:szCs w:val="22"/>
              </w:rPr>
              <w:t xml:space="preserve"> do IPHAE para </w:t>
            </w:r>
            <w:r w:rsidR="00F838FF">
              <w:rPr>
                <w:rFonts w:ascii="Times New Roman" w:eastAsia="MS Mincho" w:hAnsi="Times New Roman"/>
                <w:sz w:val="22"/>
                <w:szCs w:val="22"/>
              </w:rPr>
              <w:t xml:space="preserve">tratar de sua </w:t>
            </w:r>
            <w:r w:rsidR="00F9478B">
              <w:rPr>
                <w:rFonts w:ascii="Times New Roman" w:eastAsia="MS Mincho" w:hAnsi="Times New Roman"/>
                <w:sz w:val="22"/>
                <w:szCs w:val="22"/>
              </w:rPr>
              <w:t>participaç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ão.</w:t>
            </w:r>
          </w:p>
        </w:tc>
      </w:tr>
      <w:tr w:rsidR="00F9478B" w:rsidRPr="00066AD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066ADE" w:rsidRDefault="00F9478B" w:rsidP="00F9478B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Providenciar o material solicitado</w:t>
            </w:r>
            <w:r w:rsidR="006E19C1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necessário para realizar o evento.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F838FF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F9478B" w:rsidRPr="005F129E" w:rsidTr="0068243C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9478B" w:rsidRPr="005F129E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9478B" w:rsidRPr="00B14170" w:rsidTr="0068243C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B14170" w:rsidRDefault="00B6004A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5.6</w:t>
            </w:r>
            <w:r w:rsidR="00F9478B" w:rsidRPr="00B1417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F9478B">
              <w:rPr>
                <w:rFonts w:ascii="Times New Roman" w:eastAsia="MS Mincho" w:hAnsi="Times New Roman"/>
                <w:b/>
                <w:sz w:val="22"/>
                <w:szCs w:val="22"/>
              </w:rPr>
              <w:t>Lei do Inventário</w:t>
            </w:r>
          </w:p>
        </w:tc>
      </w:tr>
      <w:tr w:rsidR="00F9478B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EA71C6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EA71C6" w:rsidRPr="005F129E" w:rsidTr="00745494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71C6" w:rsidRPr="005F129E" w:rsidRDefault="00EA71C6" w:rsidP="00EA7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71C6" w:rsidRPr="005F129E" w:rsidRDefault="00EA71C6" w:rsidP="00EA71C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F9478B" w:rsidRPr="002003A8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71C6" w:rsidRPr="002003A8" w:rsidRDefault="00EA71C6" w:rsidP="00EA7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relator informa a realização de reunião, juntamente com a assessoria jurídica, em 24 de setembro às 11h para tratar dos pontos da Lei do Inventário no Ministério Público.</w:t>
            </w:r>
          </w:p>
        </w:tc>
      </w:tr>
      <w:tr w:rsidR="00F9478B" w:rsidRPr="00066AD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066ADE" w:rsidRDefault="00F838FF" w:rsidP="00F9478B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Firmar presença na reunião e levar as questões do tema</w:t>
            </w:r>
          </w:p>
        </w:tc>
      </w:tr>
      <w:tr w:rsidR="00F838FF" w:rsidRPr="005F129E" w:rsidTr="00B267EE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 e Assessoria Jurídica</w:t>
            </w:r>
          </w:p>
        </w:tc>
      </w:tr>
      <w:tr w:rsidR="00F9478B" w:rsidRPr="005F129E" w:rsidTr="00E8688F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9478B" w:rsidRDefault="00F9478B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10808" w:rsidRDefault="00B10808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10808" w:rsidRPr="005F129E" w:rsidRDefault="00B10808" w:rsidP="00F947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27DF" w:rsidRPr="005F129E" w:rsidTr="00E03BE7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D47D23" w:rsidRDefault="00B6004A" w:rsidP="003127D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5.7</w:t>
            </w:r>
            <w:r w:rsidR="003127D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3127DF"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>Semana Patrimônio Cultural do IPHAN 25 a 28 de outubro</w:t>
            </w:r>
          </w:p>
        </w:tc>
      </w:tr>
      <w:tr w:rsidR="003127D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3127DF" w:rsidRPr="005F129E" w:rsidTr="00BF3F4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3127D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27DF" w:rsidRPr="002003A8" w:rsidRDefault="003127DF" w:rsidP="003127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tempo hábil para tratar do tema incluído em pauta.</w:t>
            </w:r>
          </w:p>
        </w:tc>
      </w:tr>
      <w:tr w:rsidR="003127D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27DF" w:rsidRPr="00066ADE" w:rsidRDefault="003127DF" w:rsidP="003127DF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3127DF" w:rsidRPr="005F129E" w:rsidTr="00E37C40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27DF" w:rsidRPr="005F129E" w:rsidRDefault="003127DF" w:rsidP="003127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A1279C" w:rsidRPr="005F129E" w:rsidTr="0068243C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1279C" w:rsidRPr="005F129E" w:rsidRDefault="00A1279C" w:rsidP="006824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279C" w:rsidRPr="003127DF" w:rsidTr="00F56650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79C" w:rsidRPr="00D47D23" w:rsidRDefault="00B6004A" w:rsidP="00A1279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5.8</w:t>
            </w:r>
            <w:r w:rsidR="00F838F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A1279C" w:rsidRPr="00D47D2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Rede de promoção e proteção ao patrimônio </w:t>
            </w:r>
          </w:p>
        </w:tc>
      </w:tr>
      <w:tr w:rsidR="00A1279C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79C" w:rsidRPr="005F129E" w:rsidRDefault="00A1279C" w:rsidP="006824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79C" w:rsidRPr="005F129E" w:rsidRDefault="00A1279C" w:rsidP="0068243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A1279C" w:rsidRPr="005F129E" w:rsidTr="005836D6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79C" w:rsidRPr="005F129E" w:rsidRDefault="00A1279C" w:rsidP="00A127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279C" w:rsidRPr="005F129E" w:rsidRDefault="00A1279C" w:rsidP="00A127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A1279C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79C" w:rsidRPr="005F129E" w:rsidRDefault="00A1279C" w:rsidP="006824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79C" w:rsidRPr="005F129E" w:rsidRDefault="00A1279C" w:rsidP="006824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 relato da questão da rede de promoção ao patrimônio por parte do Gabinete da Presidência para atualiza</w:t>
            </w:r>
            <w:r w:rsidR="0051657F">
              <w:rPr>
                <w:rFonts w:ascii="Times New Roman" w:eastAsia="MS Mincho" w:hAnsi="Times New Roman"/>
                <w:sz w:val="22"/>
                <w:szCs w:val="22"/>
              </w:rPr>
              <w:t>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questão.</w:t>
            </w:r>
          </w:p>
        </w:tc>
      </w:tr>
      <w:tr w:rsidR="00A1279C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79C" w:rsidRPr="005F129E" w:rsidRDefault="00A1279C" w:rsidP="006824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79C" w:rsidRPr="005F129E" w:rsidRDefault="00A1279C" w:rsidP="006824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</w:t>
            </w:r>
          </w:p>
        </w:tc>
      </w:tr>
      <w:tr w:rsidR="00A1279C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279C" w:rsidRPr="005F129E" w:rsidRDefault="00A1279C" w:rsidP="006824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279C" w:rsidRPr="005F129E" w:rsidRDefault="00A1279C" w:rsidP="0068243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3127DF" w:rsidRPr="005F129E" w:rsidTr="0068243C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127DF" w:rsidRPr="005F129E" w:rsidRDefault="003127DF" w:rsidP="003127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27DF" w:rsidRPr="00D76A3C" w:rsidTr="0068243C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27DF" w:rsidRPr="003127DF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127D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B6004A">
              <w:rPr>
                <w:rFonts w:ascii="Times New Roman" w:eastAsia="MS Mincho" w:hAnsi="Times New Roman"/>
                <w:b/>
                <w:sz w:val="22"/>
                <w:szCs w:val="22"/>
              </w:rPr>
              <w:t>5.9</w:t>
            </w:r>
            <w:r w:rsidR="00F838F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3127DF">
              <w:rPr>
                <w:rFonts w:ascii="Times New Roman" w:hAnsi="Times New Roman"/>
                <w:b/>
                <w:sz w:val="22"/>
                <w:szCs w:val="22"/>
              </w:rPr>
              <w:t>Ofício nº 391/2019</w:t>
            </w:r>
            <w:r w:rsidR="007D5888">
              <w:rPr>
                <w:rFonts w:ascii="Times New Roman" w:hAnsi="Times New Roman"/>
                <w:b/>
                <w:sz w:val="22"/>
                <w:szCs w:val="22"/>
              </w:rPr>
              <w:t xml:space="preserve"> – Município de Montenegro</w:t>
            </w:r>
          </w:p>
        </w:tc>
      </w:tr>
      <w:tr w:rsidR="003127DF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27DF" w:rsidRPr="005F129E" w:rsidRDefault="00F838FF" w:rsidP="003127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Gabinete da Presidência</w:t>
            </w:r>
          </w:p>
        </w:tc>
      </w:tr>
      <w:tr w:rsidR="00F838FF" w:rsidRPr="005F129E" w:rsidTr="00E834A5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3127DF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27DF" w:rsidRPr="005F129E" w:rsidRDefault="003127DF" w:rsidP="003127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Apresentado e lido ofício enviado pela Câmara de Vereadores de Montenegro convidando a participação de membros do CAU em reunião no dia 23 de setembro de 2019, às 9h.</w:t>
            </w:r>
          </w:p>
        </w:tc>
      </w:tr>
      <w:tr w:rsidR="003127DF" w:rsidRPr="005F129E" w:rsidTr="0068243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27DF" w:rsidRPr="005F129E" w:rsidRDefault="003127DF" w:rsidP="003127D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27DF" w:rsidRPr="005F129E" w:rsidRDefault="00F838FF" w:rsidP="003127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junto à presidência a possibilidade de participação e confirmar presença na reunião.</w:t>
            </w:r>
          </w:p>
        </w:tc>
      </w:tr>
      <w:tr w:rsidR="00F838FF" w:rsidRPr="005F129E" w:rsidTr="004D1F56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</w:tbl>
    <w:p w:rsidR="00C70FB6" w:rsidRPr="005F129E" w:rsidRDefault="00C70FB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B6004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C517C1" w:rsidRDefault="00C517C1" w:rsidP="00A20E0E">
            <w:pPr>
              <w:ind w:firstLine="28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7C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6.1 </w:t>
            </w:r>
            <w:r w:rsidR="00F838FF">
              <w:rPr>
                <w:rFonts w:ascii="Times New Roman" w:eastAsia="MS Mincho" w:hAnsi="Times New Roman"/>
                <w:b/>
                <w:sz w:val="22"/>
                <w:szCs w:val="22"/>
              </w:rPr>
              <w:t>Artigo do Mestre e Conselheiro e Artigo de Cachoeira do Sul</w:t>
            </w:r>
          </w:p>
        </w:tc>
      </w:tr>
      <w:tr w:rsidR="00EF6E02" w:rsidRPr="005F129E" w:rsidTr="00AB4EB8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F838F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F838FF" w:rsidRPr="005F129E" w:rsidTr="00A20E0E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4F7736" w:rsidRPr="005F129E" w:rsidTr="00EF5B38">
        <w:trPr>
          <w:trHeight w:val="70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736" w:rsidRPr="005F129E" w:rsidRDefault="004F7736" w:rsidP="004F7736">
            <w:pPr>
              <w:ind w:firstLine="28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6.2</w:t>
            </w:r>
            <w:r w:rsidR="00F838F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Moinho </w:t>
            </w:r>
            <w:proofErr w:type="spellStart"/>
            <w:r w:rsidR="00F838FF">
              <w:rPr>
                <w:rFonts w:ascii="Times New Roman" w:eastAsia="MS Mincho" w:hAnsi="Times New Roman"/>
                <w:b/>
                <w:sz w:val="22"/>
                <w:szCs w:val="22"/>
              </w:rPr>
              <w:t>Covolan</w:t>
            </w:r>
            <w:proofErr w:type="spellEnd"/>
            <w:r w:rsidR="00F838F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em Farroupilha</w:t>
            </w:r>
          </w:p>
        </w:tc>
      </w:tr>
      <w:tr w:rsidR="004F7736" w:rsidRPr="005F129E" w:rsidTr="00A20E0E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736" w:rsidRPr="005F129E" w:rsidRDefault="004F7736" w:rsidP="004F77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736" w:rsidRPr="005F129E" w:rsidRDefault="00F838FF" w:rsidP="004F773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F838FF" w:rsidRPr="005F129E" w:rsidTr="00A20E0E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8FF" w:rsidRPr="005F129E" w:rsidRDefault="00F838FF" w:rsidP="00F838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7D2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838FF" w:rsidRPr="005F129E" w:rsidTr="00B56977">
        <w:trPr>
          <w:trHeight w:val="70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F838FF">
            <w:pPr>
              <w:ind w:firstLine="28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6.3 Semana Patrimônio Cultural IPHAN 25 a 28 de outubro</w:t>
            </w:r>
          </w:p>
        </w:tc>
      </w:tr>
      <w:tr w:rsidR="00F838FF" w:rsidRPr="005F129E" w:rsidTr="00B5697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B569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8FF" w:rsidRPr="005F129E" w:rsidRDefault="00F838FF" w:rsidP="00B569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45616C" w:rsidRPr="005F129E" w:rsidTr="007662A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616C" w:rsidRPr="005F129E" w:rsidRDefault="0045616C" w:rsidP="0045616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16C" w:rsidRPr="005F129E" w:rsidRDefault="0045616C" w:rsidP="0045616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F838FF" w:rsidRPr="005F129E" w:rsidTr="00B56977">
        <w:trPr>
          <w:trHeight w:val="70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B6004A" w:rsidP="0045616C">
            <w:pPr>
              <w:ind w:firstLine="28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6.4</w:t>
            </w:r>
            <w:r w:rsidR="00F838F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45616C">
              <w:rPr>
                <w:rFonts w:ascii="Times New Roman" w:eastAsia="MS Mincho" w:hAnsi="Times New Roman"/>
                <w:b/>
                <w:sz w:val="22"/>
                <w:szCs w:val="22"/>
              </w:rPr>
              <w:t>Rede de promoção e proteção ao patrimônio</w:t>
            </w:r>
          </w:p>
        </w:tc>
      </w:tr>
      <w:tr w:rsidR="00F838FF" w:rsidRPr="005F129E" w:rsidTr="00B5697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B569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8FF" w:rsidRPr="005F129E" w:rsidRDefault="0045616C" w:rsidP="00B569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F838FF" w:rsidRPr="005F129E" w:rsidTr="00B5697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38FF" w:rsidRPr="005F129E" w:rsidRDefault="00F838FF" w:rsidP="00B569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38FF" w:rsidRPr="005F129E" w:rsidRDefault="0045616C" w:rsidP="00B569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de Oliveira</w:t>
            </w:r>
          </w:p>
        </w:tc>
      </w:tr>
    </w:tbl>
    <w:p w:rsidR="00DE20DA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p w:rsidR="00B10808" w:rsidRDefault="00B10808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p w:rsidR="00B10808" w:rsidRPr="005F129E" w:rsidRDefault="00B10808" w:rsidP="00683F03">
      <w:pPr>
        <w:rPr>
          <w:rFonts w:ascii="Times New Roman" w:eastAsia="MS Mincho" w:hAnsi="Times New Roman"/>
          <w:smallCaps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B6004A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itura, discussão e aprovação da </w:t>
            </w:r>
            <w:r w:rsidR="00F0323A">
              <w:rPr>
                <w:rFonts w:ascii="Times New Roman" w:eastAsia="MS Mincho" w:hAnsi="Times New Roman"/>
                <w:b/>
                <w:sz w:val="22"/>
                <w:szCs w:val="22"/>
              </w:rPr>
              <w:t>súmula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1</w:t>
            </w:r>
            <w:r w:rsidR="00A20E0E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>ª reunião da CTPH-CAU/RS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4E65FB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07C4A" w:rsidRPr="005F129E" w:rsidRDefault="00D76A3C" w:rsidP="00607C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607C4A" w:rsidRDefault="00607C4A" w:rsidP="00607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6A3C" w:rsidRPr="005F129E" w:rsidRDefault="00D76A3C" w:rsidP="00D76A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D76A3C" w:rsidRDefault="00D76A3C" w:rsidP="00D76A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D76A3C" w:rsidRDefault="00D76A3C" w:rsidP="00607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6C2A" w:rsidRPr="00006941" w:rsidRDefault="00607C4A" w:rsidP="002E62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2C57" w:rsidRPr="005F129E" w:rsidRDefault="000B2C57" w:rsidP="000B2C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0B2C57" w:rsidRDefault="000B2C57" w:rsidP="000B2C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6A3C" w:rsidRDefault="00D76A3C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E6236" w:rsidRPr="005F129E" w:rsidRDefault="002E6236" w:rsidP="00A5143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4E65FB" w:rsidRPr="00D445DA" w:rsidRDefault="002E6236" w:rsidP="00A5143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</w:tr>
    </w:tbl>
    <w:p w:rsidR="000B2C57" w:rsidRPr="005F129E" w:rsidRDefault="000B2C57" w:rsidP="0013021A">
      <w:pPr>
        <w:rPr>
          <w:rFonts w:ascii="Times New Roman" w:hAnsi="Times New Roman"/>
          <w:b/>
          <w:sz w:val="22"/>
          <w:szCs w:val="22"/>
        </w:rPr>
      </w:pPr>
    </w:p>
    <w:sectPr w:rsidR="000B2C57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15" w:rsidRDefault="00250515" w:rsidP="004C3048">
      <w:r>
        <w:separator/>
      </w:r>
    </w:p>
  </w:endnote>
  <w:endnote w:type="continuationSeparator" w:id="0">
    <w:p w:rsidR="00250515" w:rsidRDefault="0025051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B777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B777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15" w:rsidRDefault="00250515" w:rsidP="004C3048">
      <w:r>
        <w:separator/>
      </w:r>
    </w:p>
  </w:footnote>
  <w:footnote w:type="continuationSeparator" w:id="0">
    <w:p w:rsidR="00250515" w:rsidRDefault="0025051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5" w15:restartNumberingAfterBreak="0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9"/>
  </w:num>
  <w:num w:numId="4">
    <w:abstractNumId w:val="20"/>
  </w:num>
  <w:num w:numId="5">
    <w:abstractNumId w:val="16"/>
  </w:num>
  <w:num w:numId="6">
    <w:abstractNumId w:val="10"/>
  </w:num>
  <w:num w:numId="7">
    <w:abstractNumId w:val="3"/>
  </w:num>
  <w:num w:numId="8">
    <w:abstractNumId w:val="4"/>
  </w:num>
  <w:num w:numId="9">
    <w:abstractNumId w:val="34"/>
  </w:num>
  <w:num w:numId="10">
    <w:abstractNumId w:val="17"/>
  </w:num>
  <w:num w:numId="11">
    <w:abstractNumId w:val="12"/>
  </w:num>
  <w:num w:numId="12">
    <w:abstractNumId w:val="7"/>
  </w:num>
  <w:num w:numId="13">
    <w:abstractNumId w:val="18"/>
  </w:num>
  <w:num w:numId="14">
    <w:abstractNumId w:val="32"/>
  </w:num>
  <w:num w:numId="15">
    <w:abstractNumId w:val="37"/>
  </w:num>
  <w:num w:numId="16">
    <w:abstractNumId w:val="25"/>
  </w:num>
  <w:num w:numId="17">
    <w:abstractNumId w:val="22"/>
  </w:num>
  <w:num w:numId="18">
    <w:abstractNumId w:val="0"/>
  </w:num>
  <w:num w:numId="19">
    <w:abstractNumId w:val="30"/>
  </w:num>
  <w:num w:numId="20">
    <w:abstractNumId w:val="5"/>
  </w:num>
  <w:num w:numId="21">
    <w:abstractNumId w:val="6"/>
  </w:num>
  <w:num w:numId="22">
    <w:abstractNumId w:val="38"/>
  </w:num>
  <w:num w:numId="23">
    <w:abstractNumId w:val="21"/>
  </w:num>
  <w:num w:numId="24">
    <w:abstractNumId w:val="29"/>
  </w:num>
  <w:num w:numId="25">
    <w:abstractNumId w:val="26"/>
  </w:num>
  <w:num w:numId="26">
    <w:abstractNumId w:val="28"/>
  </w:num>
  <w:num w:numId="27">
    <w:abstractNumId w:val="35"/>
  </w:num>
  <w:num w:numId="28">
    <w:abstractNumId w:val="36"/>
  </w:num>
  <w:num w:numId="29">
    <w:abstractNumId w:val="14"/>
  </w:num>
  <w:num w:numId="30">
    <w:abstractNumId w:val="33"/>
  </w:num>
  <w:num w:numId="31">
    <w:abstractNumId w:val="27"/>
  </w:num>
  <w:num w:numId="32">
    <w:abstractNumId w:val="13"/>
  </w:num>
  <w:num w:numId="33">
    <w:abstractNumId w:val="11"/>
  </w:num>
  <w:num w:numId="34">
    <w:abstractNumId w:val="15"/>
  </w:num>
  <w:num w:numId="35">
    <w:abstractNumId w:val="24"/>
  </w:num>
  <w:num w:numId="36">
    <w:abstractNumId w:val="8"/>
  </w:num>
  <w:num w:numId="37">
    <w:abstractNumId w:val="2"/>
  </w:num>
  <w:num w:numId="38">
    <w:abstractNumId w:val="19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204B5"/>
    <w:rsid w:val="00020AA7"/>
    <w:rsid w:val="000246FB"/>
    <w:rsid w:val="00025A21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1451"/>
    <w:rsid w:val="00093EF3"/>
    <w:rsid w:val="00094D18"/>
    <w:rsid w:val="00094EA0"/>
    <w:rsid w:val="000A17B2"/>
    <w:rsid w:val="000A2027"/>
    <w:rsid w:val="000A35C3"/>
    <w:rsid w:val="000A4060"/>
    <w:rsid w:val="000A524E"/>
    <w:rsid w:val="000A559D"/>
    <w:rsid w:val="000A55B4"/>
    <w:rsid w:val="000A614D"/>
    <w:rsid w:val="000A7753"/>
    <w:rsid w:val="000A786A"/>
    <w:rsid w:val="000A796D"/>
    <w:rsid w:val="000B186C"/>
    <w:rsid w:val="000B23D8"/>
    <w:rsid w:val="000B2733"/>
    <w:rsid w:val="000B2C57"/>
    <w:rsid w:val="000B3521"/>
    <w:rsid w:val="000B396B"/>
    <w:rsid w:val="000B39CD"/>
    <w:rsid w:val="000B4F49"/>
    <w:rsid w:val="000C022D"/>
    <w:rsid w:val="000C18BF"/>
    <w:rsid w:val="000C1A24"/>
    <w:rsid w:val="000C3500"/>
    <w:rsid w:val="000C5914"/>
    <w:rsid w:val="000C5D09"/>
    <w:rsid w:val="000C5E2C"/>
    <w:rsid w:val="000C7769"/>
    <w:rsid w:val="000C7DFC"/>
    <w:rsid w:val="000D06EF"/>
    <w:rsid w:val="000D0E34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339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62AB"/>
    <w:rsid w:val="00170863"/>
    <w:rsid w:val="00170CA0"/>
    <w:rsid w:val="00174A5A"/>
    <w:rsid w:val="0017602E"/>
    <w:rsid w:val="00176B04"/>
    <w:rsid w:val="001778C5"/>
    <w:rsid w:val="001778CE"/>
    <w:rsid w:val="00180EE0"/>
    <w:rsid w:val="00180FB9"/>
    <w:rsid w:val="00193940"/>
    <w:rsid w:val="00194501"/>
    <w:rsid w:val="001961A1"/>
    <w:rsid w:val="001966B2"/>
    <w:rsid w:val="001979E1"/>
    <w:rsid w:val="001A1AEB"/>
    <w:rsid w:val="001A1D36"/>
    <w:rsid w:val="001A583D"/>
    <w:rsid w:val="001A58FC"/>
    <w:rsid w:val="001B01D5"/>
    <w:rsid w:val="001B37BC"/>
    <w:rsid w:val="001B4C75"/>
    <w:rsid w:val="001B5148"/>
    <w:rsid w:val="001B5F62"/>
    <w:rsid w:val="001D1E87"/>
    <w:rsid w:val="001D2114"/>
    <w:rsid w:val="001D2513"/>
    <w:rsid w:val="001E069B"/>
    <w:rsid w:val="001E19AD"/>
    <w:rsid w:val="001E1FC5"/>
    <w:rsid w:val="001E2828"/>
    <w:rsid w:val="001E30B5"/>
    <w:rsid w:val="001E3666"/>
    <w:rsid w:val="001E56D2"/>
    <w:rsid w:val="001E66EF"/>
    <w:rsid w:val="001F382E"/>
    <w:rsid w:val="001F61E5"/>
    <w:rsid w:val="002003A8"/>
    <w:rsid w:val="00207E7F"/>
    <w:rsid w:val="0021001D"/>
    <w:rsid w:val="00210D95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0515"/>
    <w:rsid w:val="0025055F"/>
    <w:rsid w:val="00251214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773F8"/>
    <w:rsid w:val="00280F33"/>
    <w:rsid w:val="002812FD"/>
    <w:rsid w:val="00285A83"/>
    <w:rsid w:val="00285CE9"/>
    <w:rsid w:val="00291AC7"/>
    <w:rsid w:val="002933D7"/>
    <w:rsid w:val="00294E48"/>
    <w:rsid w:val="00295FD5"/>
    <w:rsid w:val="0029717E"/>
    <w:rsid w:val="002974CF"/>
    <w:rsid w:val="002A7C5E"/>
    <w:rsid w:val="002B140A"/>
    <w:rsid w:val="002B1CC6"/>
    <w:rsid w:val="002C0429"/>
    <w:rsid w:val="002C2B46"/>
    <w:rsid w:val="002C3E6D"/>
    <w:rsid w:val="002C3ECA"/>
    <w:rsid w:val="002C4999"/>
    <w:rsid w:val="002C5247"/>
    <w:rsid w:val="002C561F"/>
    <w:rsid w:val="002D4361"/>
    <w:rsid w:val="002D54CA"/>
    <w:rsid w:val="002D6347"/>
    <w:rsid w:val="002D668A"/>
    <w:rsid w:val="002E293E"/>
    <w:rsid w:val="002E33D4"/>
    <w:rsid w:val="002E3606"/>
    <w:rsid w:val="002E6236"/>
    <w:rsid w:val="002F226D"/>
    <w:rsid w:val="002F239B"/>
    <w:rsid w:val="002F2AD1"/>
    <w:rsid w:val="002F33D8"/>
    <w:rsid w:val="002F4CC8"/>
    <w:rsid w:val="002F6B55"/>
    <w:rsid w:val="002F6DB5"/>
    <w:rsid w:val="002F7964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7DF"/>
    <w:rsid w:val="00312ED5"/>
    <w:rsid w:val="00320980"/>
    <w:rsid w:val="003212FA"/>
    <w:rsid w:val="00321A2F"/>
    <w:rsid w:val="00324A57"/>
    <w:rsid w:val="0032521A"/>
    <w:rsid w:val="003275F0"/>
    <w:rsid w:val="003278C3"/>
    <w:rsid w:val="00330705"/>
    <w:rsid w:val="00330E55"/>
    <w:rsid w:val="00331514"/>
    <w:rsid w:val="00334C0D"/>
    <w:rsid w:val="00335B42"/>
    <w:rsid w:val="00335CAD"/>
    <w:rsid w:val="0033608E"/>
    <w:rsid w:val="00336A6D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D30"/>
    <w:rsid w:val="004245FB"/>
    <w:rsid w:val="00427D18"/>
    <w:rsid w:val="004303BE"/>
    <w:rsid w:val="004308BD"/>
    <w:rsid w:val="00431D84"/>
    <w:rsid w:val="0043275D"/>
    <w:rsid w:val="00433BDB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3B4C"/>
    <w:rsid w:val="00455BEC"/>
    <w:rsid w:val="0045603E"/>
    <w:rsid w:val="0045616C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17C2"/>
    <w:rsid w:val="004920DB"/>
    <w:rsid w:val="00493277"/>
    <w:rsid w:val="00493484"/>
    <w:rsid w:val="0049596C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B6485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2306"/>
    <w:rsid w:val="004E2D8A"/>
    <w:rsid w:val="004E4970"/>
    <w:rsid w:val="004E4C11"/>
    <w:rsid w:val="004E5FC2"/>
    <w:rsid w:val="004E65FB"/>
    <w:rsid w:val="004F1487"/>
    <w:rsid w:val="004F15C8"/>
    <w:rsid w:val="004F1A4A"/>
    <w:rsid w:val="004F3670"/>
    <w:rsid w:val="004F39B2"/>
    <w:rsid w:val="004F73AF"/>
    <w:rsid w:val="004F7736"/>
    <w:rsid w:val="00500497"/>
    <w:rsid w:val="00501414"/>
    <w:rsid w:val="0050244E"/>
    <w:rsid w:val="00505A0B"/>
    <w:rsid w:val="00505F5A"/>
    <w:rsid w:val="0050746C"/>
    <w:rsid w:val="00507623"/>
    <w:rsid w:val="00511568"/>
    <w:rsid w:val="00512B6B"/>
    <w:rsid w:val="0051657F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4361"/>
    <w:rsid w:val="005351B4"/>
    <w:rsid w:val="005367EC"/>
    <w:rsid w:val="005378BF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3DF2"/>
    <w:rsid w:val="00564054"/>
    <w:rsid w:val="00565889"/>
    <w:rsid w:val="00573388"/>
    <w:rsid w:val="0057502D"/>
    <w:rsid w:val="005776C2"/>
    <w:rsid w:val="0058023B"/>
    <w:rsid w:val="0058266F"/>
    <w:rsid w:val="00582ED2"/>
    <w:rsid w:val="005859B9"/>
    <w:rsid w:val="0058677D"/>
    <w:rsid w:val="00586C2A"/>
    <w:rsid w:val="00593BF0"/>
    <w:rsid w:val="0059471B"/>
    <w:rsid w:val="00595D77"/>
    <w:rsid w:val="00597329"/>
    <w:rsid w:val="005A1E0E"/>
    <w:rsid w:val="005A31F1"/>
    <w:rsid w:val="005A6FEF"/>
    <w:rsid w:val="005A7AE0"/>
    <w:rsid w:val="005B25F6"/>
    <w:rsid w:val="005B4200"/>
    <w:rsid w:val="005B4B10"/>
    <w:rsid w:val="005C1173"/>
    <w:rsid w:val="005C146C"/>
    <w:rsid w:val="005C1C8D"/>
    <w:rsid w:val="005C3F3C"/>
    <w:rsid w:val="005C67F5"/>
    <w:rsid w:val="005D2FAE"/>
    <w:rsid w:val="005D2FBE"/>
    <w:rsid w:val="005D3D88"/>
    <w:rsid w:val="005D7E7F"/>
    <w:rsid w:val="005E1632"/>
    <w:rsid w:val="005E2D9F"/>
    <w:rsid w:val="005E3EBC"/>
    <w:rsid w:val="005E5D39"/>
    <w:rsid w:val="005F129E"/>
    <w:rsid w:val="005F2C4C"/>
    <w:rsid w:val="005F3244"/>
    <w:rsid w:val="005F47CB"/>
    <w:rsid w:val="005F4F21"/>
    <w:rsid w:val="005F6D57"/>
    <w:rsid w:val="005F77DF"/>
    <w:rsid w:val="00600197"/>
    <w:rsid w:val="00601740"/>
    <w:rsid w:val="00601FB6"/>
    <w:rsid w:val="00602351"/>
    <w:rsid w:val="00603418"/>
    <w:rsid w:val="00604AFA"/>
    <w:rsid w:val="0060634C"/>
    <w:rsid w:val="00607C4A"/>
    <w:rsid w:val="006130EF"/>
    <w:rsid w:val="00613103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49FF"/>
    <w:rsid w:val="00645049"/>
    <w:rsid w:val="006512AC"/>
    <w:rsid w:val="0065162C"/>
    <w:rsid w:val="0065512D"/>
    <w:rsid w:val="00660567"/>
    <w:rsid w:val="00660E2D"/>
    <w:rsid w:val="00661135"/>
    <w:rsid w:val="00662475"/>
    <w:rsid w:val="00662F12"/>
    <w:rsid w:val="006657F6"/>
    <w:rsid w:val="00665AB1"/>
    <w:rsid w:val="0066674D"/>
    <w:rsid w:val="00666C99"/>
    <w:rsid w:val="0067285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F87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503"/>
    <w:rsid w:val="006D3B71"/>
    <w:rsid w:val="006D5456"/>
    <w:rsid w:val="006D7100"/>
    <w:rsid w:val="006E1809"/>
    <w:rsid w:val="006E19C1"/>
    <w:rsid w:val="006E295A"/>
    <w:rsid w:val="006E361F"/>
    <w:rsid w:val="006E563A"/>
    <w:rsid w:val="006E5EA1"/>
    <w:rsid w:val="006E5FE2"/>
    <w:rsid w:val="006F2D96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7EE0"/>
    <w:rsid w:val="00710527"/>
    <w:rsid w:val="0071236E"/>
    <w:rsid w:val="0071376B"/>
    <w:rsid w:val="007154F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35D"/>
    <w:rsid w:val="00785B0E"/>
    <w:rsid w:val="007869F7"/>
    <w:rsid w:val="007938D6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5888"/>
    <w:rsid w:val="007D62AE"/>
    <w:rsid w:val="007E0B92"/>
    <w:rsid w:val="007E18F9"/>
    <w:rsid w:val="007E22CA"/>
    <w:rsid w:val="007E7D07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20343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79DB"/>
    <w:rsid w:val="00897AA9"/>
    <w:rsid w:val="008A00DA"/>
    <w:rsid w:val="008A12EF"/>
    <w:rsid w:val="008A2EE4"/>
    <w:rsid w:val="008A37C9"/>
    <w:rsid w:val="008A4519"/>
    <w:rsid w:val="008B0EA3"/>
    <w:rsid w:val="008B1B41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6817"/>
    <w:rsid w:val="009269BD"/>
    <w:rsid w:val="009303DA"/>
    <w:rsid w:val="00930D3C"/>
    <w:rsid w:val="009314AE"/>
    <w:rsid w:val="0093154B"/>
    <w:rsid w:val="00933757"/>
    <w:rsid w:val="009347B2"/>
    <w:rsid w:val="009375C7"/>
    <w:rsid w:val="0094244E"/>
    <w:rsid w:val="009428B4"/>
    <w:rsid w:val="00942BF9"/>
    <w:rsid w:val="00944BBB"/>
    <w:rsid w:val="0094772A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4359"/>
    <w:rsid w:val="009747A2"/>
    <w:rsid w:val="0098166E"/>
    <w:rsid w:val="00982F6B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B1F34"/>
    <w:rsid w:val="009B2D20"/>
    <w:rsid w:val="009B40C9"/>
    <w:rsid w:val="009B5DB8"/>
    <w:rsid w:val="009B6047"/>
    <w:rsid w:val="009C581F"/>
    <w:rsid w:val="009C74C4"/>
    <w:rsid w:val="009C75B5"/>
    <w:rsid w:val="009C7E88"/>
    <w:rsid w:val="009D0886"/>
    <w:rsid w:val="009D417A"/>
    <w:rsid w:val="009D42CC"/>
    <w:rsid w:val="009D4BA7"/>
    <w:rsid w:val="009D57E8"/>
    <w:rsid w:val="009D6A5B"/>
    <w:rsid w:val="009D6EBF"/>
    <w:rsid w:val="009D76B1"/>
    <w:rsid w:val="009E2DBB"/>
    <w:rsid w:val="009E3C4D"/>
    <w:rsid w:val="009E528E"/>
    <w:rsid w:val="009E74B1"/>
    <w:rsid w:val="009E76F7"/>
    <w:rsid w:val="009F0EA9"/>
    <w:rsid w:val="009F2537"/>
    <w:rsid w:val="009F31E5"/>
    <w:rsid w:val="009F46D9"/>
    <w:rsid w:val="00A025DB"/>
    <w:rsid w:val="00A050DB"/>
    <w:rsid w:val="00A106B1"/>
    <w:rsid w:val="00A1279C"/>
    <w:rsid w:val="00A12819"/>
    <w:rsid w:val="00A139D9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6D39"/>
    <w:rsid w:val="00A47C9C"/>
    <w:rsid w:val="00A51433"/>
    <w:rsid w:val="00A521B3"/>
    <w:rsid w:val="00A5515C"/>
    <w:rsid w:val="00A55C5A"/>
    <w:rsid w:val="00A565FE"/>
    <w:rsid w:val="00A566FA"/>
    <w:rsid w:val="00A570C2"/>
    <w:rsid w:val="00A6177E"/>
    <w:rsid w:val="00A62383"/>
    <w:rsid w:val="00A625F2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A3A92"/>
    <w:rsid w:val="00AA6133"/>
    <w:rsid w:val="00AA740E"/>
    <w:rsid w:val="00AB07A2"/>
    <w:rsid w:val="00AB405F"/>
    <w:rsid w:val="00AB4EB8"/>
    <w:rsid w:val="00AB75AB"/>
    <w:rsid w:val="00AC47BE"/>
    <w:rsid w:val="00AC6612"/>
    <w:rsid w:val="00AD06DD"/>
    <w:rsid w:val="00AD1852"/>
    <w:rsid w:val="00AD55E5"/>
    <w:rsid w:val="00AD5FB3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0808"/>
    <w:rsid w:val="00B129F6"/>
    <w:rsid w:val="00B138A5"/>
    <w:rsid w:val="00B14170"/>
    <w:rsid w:val="00B1455D"/>
    <w:rsid w:val="00B15D4F"/>
    <w:rsid w:val="00B17945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6A54"/>
    <w:rsid w:val="00B37B9F"/>
    <w:rsid w:val="00B415D4"/>
    <w:rsid w:val="00B4287E"/>
    <w:rsid w:val="00B44E2C"/>
    <w:rsid w:val="00B45A55"/>
    <w:rsid w:val="00B50F15"/>
    <w:rsid w:val="00B57946"/>
    <w:rsid w:val="00B6004A"/>
    <w:rsid w:val="00B6066A"/>
    <w:rsid w:val="00B62742"/>
    <w:rsid w:val="00B63C2E"/>
    <w:rsid w:val="00B6546E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90F18"/>
    <w:rsid w:val="00B941AE"/>
    <w:rsid w:val="00B96569"/>
    <w:rsid w:val="00B965B6"/>
    <w:rsid w:val="00B97547"/>
    <w:rsid w:val="00B97D83"/>
    <w:rsid w:val="00BA1479"/>
    <w:rsid w:val="00BA5AD4"/>
    <w:rsid w:val="00BB0BD9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7EB0"/>
    <w:rsid w:val="00C1099C"/>
    <w:rsid w:val="00C129AA"/>
    <w:rsid w:val="00C150D7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1E3D"/>
    <w:rsid w:val="00C646F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92F91"/>
    <w:rsid w:val="00C944AA"/>
    <w:rsid w:val="00C976F3"/>
    <w:rsid w:val="00CA05D0"/>
    <w:rsid w:val="00CA1F8A"/>
    <w:rsid w:val="00CA5334"/>
    <w:rsid w:val="00CA61CF"/>
    <w:rsid w:val="00CA6559"/>
    <w:rsid w:val="00CB0733"/>
    <w:rsid w:val="00CB2095"/>
    <w:rsid w:val="00CB4719"/>
    <w:rsid w:val="00CB5076"/>
    <w:rsid w:val="00CB777C"/>
    <w:rsid w:val="00CC289B"/>
    <w:rsid w:val="00CC2CEF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47D23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349F"/>
    <w:rsid w:val="00D838F8"/>
    <w:rsid w:val="00D8667A"/>
    <w:rsid w:val="00D9183C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37C40"/>
    <w:rsid w:val="00E40724"/>
    <w:rsid w:val="00E408E2"/>
    <w:rsid w:val="00E41A9F"/>
    <w:rsid w:val="00E44C02"/>
    <w:rsid w:val="00E46041"/>
    <w:rsid w:val="00E47A74"/>
    <w:rsid w:val="00E52F82"/>
    <w:rsid w:val="00E53047"/>
    <w:rsid w:val="00E57984"/>
    <w:rsid w:val="00E62338"/>
    <w:rsid w:val="00E662FF"/>
    <w:rsid w:val="00E663BC"/>
    <w:rsid w:val="00E72454"/>
    <w:rsid w:val="00E72DA5"/>
    <w:rsid w:val="00E746A9"/>
    <w:rsid w:val="00E801FD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93B"/>
    <w:rsid w:val="00EA71C6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D7F30"/>
    <w:rsid w:val="00EE08CA"/>
    <w:rsid w:val="00EE307C"/>
    <w:rsid w:val="00EE514A"/>
    <w:rsid w:val="00EE5C82"/>
    <w:rsid w:val="00EE5F1D"/>
    <w:rsid w:val="00EE6DD1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55C0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5B88"/>
    <w:rsid w:val="00F65C5B"/>
    <w:rsid w:val="00F66025"/>
    <w:rsid w:val="00F66DB4"/>
    <w:rsid w:val="00F71A20"/>
    <w:rsid w:val="00F7418B"/>
    <w:rsid w:val="00F81438"/>
    <w:rsid w:val="00F838FF"/>
    <w:rsid w:val="00F84B86"/>
    <w:rsid w:val="00F87506"/>
    <w:rsid w:val="00F910AB"/>
    <w:rsid w:val="00F940B2"/>
    <w:rsid w:val="00F9478B"/>
    <w:rsid w:val="00F95DBC"/>
    <w:rsid w:val="00F97688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C0953"/>
    <w:rsid w:val="00FC1243"/>
    <w:rsid w:val="00FC215F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67A1CE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1290-F3D3-4675-93DE-712B7A2F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1291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12</cp:revision>
  <cp:lastPrinted>2019-04-10T20:14:00Z</cp:lastPrinted>
  <dcterms:created xsi:type="dcterms:W3CDTF">2019-09-11T20:01:00Z</dcterms:created>
  <dcterms:modified xsi:type="dcterms:W3CDTF">2019-09-24T11:43:00Z</dcterms:modified>
</cp:coreProperties>
</file>