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9F421F" w:rsidRDefault="008706B3" w:rsidP="00DD2BC3">
      <w:pPr>
        <w:suppressLineNumbers/>
        <w:spacing w:after="0"/>
        <w:jc w:val="center"/>
        <w:rPr>
          <w:rFonts w:eastAsia="Cambria" w:cstheme="minorHAnsi"/>
          <w:b/>
          <w:sz w:val="20"/>
          <w:szCs w:val="20"/>
        </w:rPr>
      </w:pPr>
      <w:r w:rsidRPr="009F421F">
        <w:rPr>
          <w:rFonts w:eastAsia="Cambria" w:cstheme="minorHAnsi"/>
          <w:b/>
          <w:sz w:val="20"/>
          <w:szCs w:val="20"/>
        </w:rPr>
        <w:t>Súmula</w:t>
      </w:r>
      <w:r w:rsidR="00CC119F" w:rsidRPr="009F421F">
        <w:rPr>
          <w:rFonts w:eastAsia="Cambria" w:cstheme="minorHAnsi"/>
          <w:b/>
          <w:sz w:val="20"/>
          <w:szCs w:val="20"/>
        </w:rPr>
        <w:t xml:space="preserve"> da </w:t>
      </w:r>
      <w:r w:rsidR="00DD249E" w:rsidRPr="009F421F">
        <w:rPr>
          <w:rFonts w:eastAsia="Cambria" w:cstheme="minorHAnsi"/>
          <w:b/>
          <w:sz w:val="20"/>
          <w:szCs w:val="20"/>
        </w:rPr>
        <w:t>22</w:t>
      </w:r>
      <w:r w:rsidR="00B170B2" w:rsidRPr="009F421F">
        <w:rPr>
          <w:rFonts w:eastAsia="Cambria" w:cstheme="minorHAnsi"/>
          <w:b/>
          <w:sz w:val="20"/>
          <w:szCs w:val="20"/>
        </w:rPr>
        <w:t>6</w:t>
      </w:r>
      <w:r w:rsidR="00940677" w:rsidRPr="009F421F">
        <w:rPr>
          <w:rFonts w:eastAsia="Cambria" w:cstheme="minorHAnsi"/>
          <w:b/>
          <w:sz w:val="20"/>
          <w:szCs w:val="20"/>
        </w:rPr>
        <w:t>ª</w:t>
      </w:r>
      <w:r w:rsidR="00CC119F" w:rsidRPr="009F421F">
        <w:rPr>
          <w:rFonts w:eastAsia="Cambria" w:cstheme="minorHAnsi"/>
          <w:b/>
          <w:sz w:val="20"/>
          <w:szCs w:val="20"/>
        </w:rPr>
        <w:t xml:space="preserve"> Reunião </w:t>
      </w:r>
      <w:r w:rsidR="0071632F" w:rsidRPr="009F421F">
        <w:rPr>
          <w:rFonts w:eastAsia="Cambria" w:cstheme="minorHAnsi"/>
          <w:b/>
          <w:sz w:val="20"/>
          <w:szCs w:val="20"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8"/>
        <w:gridCol w:w="2782"/>
        <w:gridCol w:w="9"/>
        <w:gridCol w:w="852"/>
        <w:gridCol w:w="1951"/>
        <w:gridCol w:w="1815"/>
      </w:tblGrid>
      <w:tr w:rsidR="001176FB" w:rsidRPr="009F421F" w:rsidTr="00856AE6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9F421F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Data:</w:t>
            </w:r>
          </w:p>
        </w:tc>
        <w:tc>
          <w:tcPr>
            <w:tcW w:w="3909" w:type="dxa"/>
            <w:gridSpan w:val="3"/>
            <w:shd w:val="clear" w:color="auto" w:fill="F2F2F2" w:themeFill="background1" w:themeFillShade="F2"/>
            <w:vAlign w:val="center"/>
          </w:tcPr>
          <w:p w:rsidR="00891190" w:rsidRPr="009F421F" w:rsidRDefault="00B170B2" w:rsidP="00FA7C39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19/09/2017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9F421F" w:rsidRDefault="00891190" w:rsidP="00624AC5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Local:</w:t>
            </w:r>
          </w:p>
        </w:tc>
        <w:tc>
          <w:tcPr>
            <w:tcW w:w="3766" w:type="dxa"/>
            <w:gridSpan w:val="2"/>
            <w:shd w:val="clear" w:color="auto" w:fill="F2F2F2" w:themeFill="background1" w:themeFillShade="F2"/>
            <w:vAlign w:val="center"/>
          </w:tcPr>
          <w:p w:rsidR="00891190" w:rsidRPr="009F421F" w:rsidRDefault="00F35F62" w:rsidP="00F35F62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Sede do CAU/RS (Rua Dona Laura, 320/15º andar – Porto Alegre/RS).</w:t>
            </w:r>
          </w:p>
        </w:tc>
      </w:tr>
      <w:tr w:rsidR="001176FB" w:rsidRPr="009F421F" w:rsidTr="00856AE6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F421F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Horário de início:</w:t>
            </w:r>
          </w:p>
        </w:tc>
        <w:tc>
          <w:tcPr>
            <w:tcW w:w="27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9F421F" w:rsidRDefault="003B3951" w:rsidP="007C1ED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13h30min</w:t>
            </w:r>
          </w:p>
        </w:tc>
        <w:tc>
          <w:tcPr>
            <w:tcW w:w="280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9F421F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9F421F" w:rsidRDefault="00FB3B0A" w:rsidP="00FB3B0A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16</w:t>
            </w:r>
            <w:r w:rsidR="00C16949" w:rsidRPr="009F421F">
              <w:rPr>
                <w:rFonts w:eastAsia="Cambria" w:cstheme="minorHAnsi"/>
                <w:sz w:val="20"/>
                <w:szCs w:val="20"/>
              </w:rPr>
              <w:t>h</w:t>
            </w:r>
          </w:p>
        </w:tc>
      </w:tr>
      <w:tr w:rsidR="005610D3" w:rsidRPr="009F421F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9F421F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9F421F">
              <w:rPr>
                <w:rFonts w:eastAsia="Cambria" w:cstheme="minorHAnsi"/>
                <w:b/>
                <w:sz w:val="20"/>
                <w:szCs w:val="20"/>
              </w:rPr>
              <w:t>PRESENÇAS</w:t>
            </w:r>
          </w:p>
        </w:tc>
      </w:tr>
      <w:tr w:rsidR="00E03432" w:rsidRPr="009F421F" w:rsidTr="00092E2A">
        <w:tc>
          <w:tcPr>
            <w:tcW w:w="461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9F421F" w:rsidRDefault="00E03432" w:rsidP="00E03432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Joaquim Eduardo Vidal Haas</w:t>
            </w:r>
          </w:p>
        </w:tc>
        <w:tc>
          <w:tcPr>
            <w:tcW w:w="46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9F421F" w:rsidRDefault="00E03432" w:rsidP="00E03432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Presidente do CAU/RS</w:t>
            </w:r>
          </w:p>
        </w:tc>
      </w:tr>
      <w:tr w:rsidR="00C16949" w:rsidRPr="009F421F" w:rsidTr="00856AE6">
        <w:tc>
          <w:tcPr>
            <w:tcW w:w="9236" w:type="dxa"/>
            <w:gridSpan w:val="7"/>
            <w:shd w:val="clear" w:color="auto" w:fill="D9D9D9" w:themeFill="background1" w:themeFillShade="D9"/>
          </w:tcPr>
          <w:p w:rsidR="00C16949" w:rsidRPr="009F421F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  <w:sz w:val="20"/>
                <w:szCs w:val="20"/>
              </w:rPr>
            </w:pPr>
            <w:r w:rsidRPr="009F421F">
              <w:rPr>
                <w:rFonts w:eastAsia="Cambria" w:cstheme="minorHAnsi"/>
                <w:b/>
                <w:sz w:val="20"/>
                <w:szCs w:val="20"/>
              </w:rPr>
              <w:t>Comissão</w:t>
            </w:r>
          </w:p>
        </w:tc>
      </w:tr>
      <w:tr w:rsidR="005A6D90" w:rsidRPr="009F421F" w:rsidTr="00856AE6">
        <w:tc>
          <w:tcPr>
            <w:tcW w:w="4609" w:type="dxa"/>
            <w:gridSpan w:val="3"/>
          </w:tcPr>
          <w:p w:rsidR="005A6D90" w:rsidRPr="009F421F" w:rsidRDefault="005A6D90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Rômulo Plentz Giralt</w:t>
            </w:r>
          </w:p>
        </w:tc>
        <w:tc>
          <w:tcPr>
            <w:tcW w:w="4627" w:type="dxa"/>
            <w:gridSpan w:val="4"/>
          </w:tcPr>
          <w:p w:rsidR="005A6D90" w:rsidRPr="009F421F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Coordenador</w:t>
            </w:r>
          </w:p>
        </w:tc>
      </w:tr>
      <w:tr w:rsidR="00856AE6" w:rsidRPr="009F421F" w:rsidTr="00856AE6">
        <w:tc>
          <w:tcPr>
            <w:tcW w:w="4609" w:type="dxa"/>
            <w:gridSpan w:val="3"/>
          </w:tcPr>
          <w:p w:rsidR="00856AE6" w:rsidRPr="009F421F" w:rsidRDefault="00856AE6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 xml:space="preserve">Fausto Henrique </w:t>
            </w:r>
            <w:proofErr w:type="spellStart"/>
            <w:r w:rsidRPr="009F421F">
              <w:rPr>
                <w:rFonts w:eastAsia="Cambria" w:cstheme="minorHAnsi"/>
                <w:sz w:val="20"/>
                <w:szCs w:val="20"/>
              </w:rPr>
              <w:t>Steffen</w:t>
            </w:r>
            <w:proofErr w:type="spellEnd"/>
          </w:p>
        </w:tc>
        <w:tc>
          <w:tcPr>
            <w:tcW w:w="4627" w:type="dxa"/>
            <w:gridSpan w:val="4"/>
          </w:tcPr>
          <w:p w:rsidR="00856AE6" w:rsidRPr="009F421F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Coordenador Adjunto</w:t>
            </w:r>
          </w:p>
        </w:tc>
      </w:tr>
      <w:tr w:rsidR="00856AE6" w:rsidRPr="009F421F" w:rsidTr="00856AE6">
        <w:tc>
          <w:tcPr>
            <w:tcW w:w="4609" w:type="dxa"/>
            <w:gridSpan w:val="3"/>
          </w:tcPr>
          <w:p w:rsidR="00856AE6" w:rsidRPr="009F421F" w:rsidRDefault="00856AE6" w:rsidP="00856AE6">
            <w:pPr>
              <w:widowControl w:val="0"/>
              <w:suppressAutoHyphens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 xml:space="preserve">Clóvis </w:t>
            </w:r>
            <w:proofErr w:type="spellStart"/>
            <w:r w:rsidRPr="009F421F">
              <w:rPr>
                <w:rFonts w:eastAsia="Cambria" w:cstheme="minorHAnsi"/>
                <w:sz w:val="20"/>
                <w:szCs w:val="20"/>
              </w:rPr>
              <w:t>Ilgenfritz</w:t>
            </w:r>
            <w:proofErr w:type="spellEnd"/>
            <w:r w:rsidRPr="009F421F">
              <w:rPr>
                <w:rFonts w:eastAsia="Cambria" w:cstheme="minorHAnsi"/>
                <w:sz w:val="20"/>
                <w:szCs w:val="20"/>
              </w:rPr>
              <w:t xml:space="preserve"> da Silva</w:t>
            </w:r>
          </w:p>
        </w:tc>
        <w:tc>
          <w:tcPr>
            <w:tcW w:w="4627" w:type="dxa"/>
            <w:gridSpan w:val="4"/>
          </w:tcPr>
          <w:p w:rsidR="00856AE6" w:rsidRPr="009F421F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Membro</w:t>
            </w:r>
          </w:p>
        </w:tc>
      </w:tr>
      <w:tr w:rsidR="00856AE6" w:rsidRPr="009F421F" w:rsidTr="00856AE6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9F421F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Apoio</w:t>
            </w:r>
          </w:p>
        </w:tc>
      </w:tr>
      <w:tr w:rsidR="00856AE6" w:rsidRPr="009F421F" w:rsidTr="00856AE6">
        <w:tc>
          <w:tcPr>
            <w:tcW w:w="4609" w:type="dxa"/>
            <w:gridSpan w:val="3"/>
          </w:tcPr>
          <w:p w:rsidR="00856AE6" w:rsidRPr="009F421F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Carla Lago</w:t>
            </w:r>
          </w:p>
        </w:tc>
        <w:tc>
          <w:tcPr>
            <w:tcW w:w="4627" w:type="dxa"/>
            <w:gridSpan w:val="4"/>
          </w:tcPr>
          <w:p w:rsidR="00856AE6" w:rsidRPr="009F421F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Secretária Executiva</w:t>
            </w:r>
          </w:p>
        </w:tc>
      </w:tr>
      <w:tr w:rsidR="00B111F5" w:rsidRPr="009F421F" w:rsidTr="00856AE6">
        <w:tc>
          <w:tcPr>
            <w:tcW w:w="4609" w:type="dxa"/>
            <w:gridSpan w:val="3"/>
          </w:tcPr>
          <w:p w:rsidR="00B111F5" w:rsidRPr="009F421F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Cheila Chagas</w:t>
            </w:r>
          </w:p>
        </w:tc>
        <w:tc>
          <w:tcPr>
            <w:tcW w:w="4627" w:type="dxa"/>
            <w:gridSpan w:val="4"/>
          </w:tcPr>
          <w:p w:rsidR="00B111F5" w:rsidRPr="009F421F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Gerente Financeira</w:t>
            </w:r>
          </w:p>
        </w:tc>
      </w:tr>
      <w:tr w:rsidR="00DC0A99" w:rsidRPr="009F421F" w:rsidTr="00856AE6">
        <w:tc>
          <w:tcPr>
            <w:tcW w:w="4609" w:type="dxa"/>
            <w:gridSpan w:val="3"/>
          </w:tcPr>
          <w:p w:rsidR="00DC0A99" w:rsidRPr="009F421F" w:rsidRDefault="006C615A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Flávio Salamoni B</w:t>
            </w:r>
            <w:r w:rsidR="00DC0A99" w:rsidRPr="009F421F">
              <w:rPr>
                <w:rFonts w:eastAsia="Cambria" w:cstheme="minorHAnsi"/>
                <w:sz w:val="20"/>
                <w:szCs w:val="20"/>
              </w:rPr>
              <w:t>arros da Silva</w:t>
            </w:r>
          </w:p>
        </w:tc>
        <w:tc>
          <w:tcPr>
            <w:tcW w:w="4627" w:type="dxa"/>
            <w:gridSpan w:val="4"/>
          </w:tcPr>
          <w:p w:rsidR="00DC0A99" w:rsidRPr="009F421F" w:rsidRDefault="00DC0A99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Assessor Jurídico</w:t>
            </w:r>
          </w:p>
        </w:tc>
      </w:tr>
      <w:tr w:rsidR="00DC0A99" w:rsidRPr="009F421F" w:rsidTr="00856AE6">
        <w:tc>
          <w:tcPr>
            <w:tcW w:w="4609" w:type="dxa"/>
            <w:gridSpan w:val="3"/>
          </w:tcPr>
          <w:p w:rsidR="00DC0A99" w:rsidRPr="009F421F" w:rsidRDefault="00DC0A99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 xml:space="preserve">Tales </w:t>
            </w:r>
            <w:proofErr w:type="spellStart"/>
            <w:r w:rsidRPr="009F421F">
              <w:rPr>
                <w:rFonts w:eastAsia="Cambria" w:cstheme="minorHAnsi"/>
                <w:sz w:val="20"/>
                <w:szCs w:val="20"/>
              </w:rPr>
              <w:t>Völker</w:t>
            </w:r>
            <w:proofErr w:type="spellEnd"/>
          </w:p>
        </w:tc>
        <w:tc>
          <w:tcPr>
            <w:tcW w:w="4627" w:type="dxa"/>
            <w:gridSpan w:val="4"/>
          </w:tcPr>
          <w:p w:rsidR="00DC0A99" w:rsidRPr="009F421F" w:rsidRDefault="00DC0A99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Gerente Geral</w:t>
            </w:r>
          </w:p>
        </w:tc>
      </w:tr>
      <w:tr w:rsidR="00F35F62" w:rsidRPr="009F421F" w:rsidTr="00856AE6">
        <w:tc>
          <w:tcPr>
            <w:tcW w:w="4609" w:type="dxa"/>
            <w:gridSpan w:val="3"/>
          </w:tcPr>
          <w:p w:rsidR="00F35F62" w:rsidRPr="009F421F" w:rsidRDefault="00F35F62" w:rsidP="00856AE6">
            <w:pPr>
              <w:widowControl w:val="0"/>
              <w:suppressAutoHyphens/>
              <w:ind w:firstLine="34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 xml:space="preserve">William </w:t>
            </w:r>
            <w:proofErr w:type="spellStart"/>
            <w:r w:rsidRPr="009F421F">
              <w:rPr>
                <w:rFonts w:eastAsia="Cambria" w:cstheme="minorHAnsi"/>
                <w:sz w:val="20"/>
                <w:szCs w:val="20"/>
              </w:rPr>
              <w:t>Gritti</w:t>
            </w:r>
            <w:proofErr w:type="spellEnd"/>
          </w:p>
        </w:tc>
        <w:tc>
          <w:tcPr>
            <w:tcW w:w="4627" w:type="dxa"/>
            <w:gridSpan w:val="4"/>
          </w:tcPr>
          <w:p w:rsidR="00F35F62" w:rsidRPr="009F421F" w:rsidRDefault="00F35F62" w:rsidP="00856AE6">
            <w:pPr>
              <w:widowControl w:val="0"/>
              <w:suppressAutoHyphens/>
              <w:jc w:val="both"/>
              <w:rPr>
                <w:rFonts w:eastAsia="Cambria" w:cstheme="minorHAnsi"/>
                <w:sz w:val="20"/>
                <w:szCs w:val="20"/>
              </w:rPr>
            </w:pPr>
            <w:r w:rsidRPr="009F421F">
              <w:rPr>
                <w:rFonts w:eastAsia="Cambria" w:cstheme="minorHAnsi"/>
                <w:sz w:val="20"/>
                <w:szCs w:val="20"/>
              </w:rPr>
              <w:t>Coordenador da Unidade de Planejamento</w:t>
            </w:r>
          </w:p>
        </w:tc>
      </w:tr>
    </w:tbl>
    <w:p w:rsidR="00940677" w:rsidRPr="009F421F" w:rsidRDefault="00940677" w:rsidP="00721F33">
      <w:pPr>
        <w:pStyle w:val="PargrafodaLista"/>
        <w:jc w:val="both"/>
        <w:rPr>
          <w:rFonts w:cstheme="minorHAnsi"/>
          <w:b/>
          <w:sz w:val="20"/>
          <w:szCs w:val="20"/>
        </w:rPr>
      </w:pPr>
    </w:p>
    <w:p w:rsidR="008F31DB" w:rsidRPr="009F421F" w:rsidRDefault="00072369" w:rsidP="00ED54B8">
      <w:pPr>
        <w:pStyle w:val="PargrafodaLista"/>
        <w:ind w:left="0"/>
        <w:jc w:val="both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PAUTA:</w:t>
      </w:r>
    </w:p>
    <w:p w:rsidR="00AF37FE" w:rsidRPr="009F421F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Verificação do quórum</w:t>
      </w:r>
      <w:r w:rsidR="0032454C" w:rsidRPr="009F421F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9F421F" w:rsidTr="00580D0A">
        <w:tc>
          <w:tcPr>
            <w:tcW w:w="1999" w:type="dxa"/>
            <w:vAlign w:val="center"/>
          </w:tcPr>
          <w:p w:rsidR="00041ED0" w:rsidRPr="009F421F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9F421F" w:rsidRDefault="0031570F" w:rsidP="00291039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Todos estão presentes no início da reunião.</w:t>
            </w:r>
          </w:p>
        </w:tc>
      </w:tr>
      <w:tr w:rsidR="00041ED0" w:rsidRPr="009F421F" w:rsidTr="0046015C">
        <w:trPr>
          <w:trHeight w:val="423"/>
        </w:trPr>
        <w:tc>
          <w:tcPr>
            <w:tcW w:w="1999" w:type="dxa"/>
            <w:vAlign w:val="center"/>
          </w:tcPr>
          <w:p w:rsidR="00041ED0" w:rsidRPr="009F421F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9F421F" w:rsidRDefault="007073B8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9F421F" w:rsidRDefault="00B26BCA" w:rsidP="00B26BCA">
      <w:pPr>
        <w:pStyle w:val="PargrafodaLista"/>
        <w:spacing w:before="120" w:after="0"/>
        <w:rPr>
          <w:rFonts w:cstheme="minorHAnsi"/>
          <w:b/>
          <w:sz w:val="20"/>
          <w:szCs w:val="20"/>
        </w:rPr>
      </w:pPr>
    </w:p>
    <w:p w:rsidR="00AF37FE" w:rsidRPr="009F421F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Verificação da pauta e inclusão de assuntos extras</w:t>
      </w:r>
      <w:r w:rsidR="00ED54B8" w:rsidRPr="009F421F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9F421F" w:rsidTr="00580D0A">
        <w:tc>
          <w:tcPr>
            <w:tcW w:w="1999" w:type="dxa"/>
            <w:vAlign w:val="center"/>
          </w:tcPr>
          <w:p w:rsidR="00AF37FE" w:rsidRPr="009F421F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11F5" w:rsidRPr="009F421F" w:rsidRDefault="00FB3B0A" w:rsidP="00B111F5">
            <w:pPr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O Coord. Rômulo solicita a inclusão do assunto “II Conferência Nacional de Arquitetura e Urbanismo do CAU/BR”.</w:t>
            </w:r>
          </w:p>
        </w:tc>
      </w:tr>
      <w:tr w:rsidR="00AF37FE" w:rsidRPr="009F421F" w:rsidTr="0046015C">
        <w:trPr>
          <w:trHeight w:val="436"/>
        </w:trPr>
        <w:tc>
          <w:tcPr>
            <w:tcW w:w="1999" w:type="dxa"/>
            <w:vAlign w:val="center"/>
          </w:tcPr>
          <w:p w:rsidR="00AF37FE" w:rsidRPr="009F421F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9F421F" w:rsidRDefault="00F27118" w:rsidP="002D2D2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9F421F" w:rsidRDefault="00B26BCA" w:rsidP="00B26BCA">
      <w:pPr>
        <w:pStyle w:val="PargrafodaLista"/>
        <w:spacing w:before="120" w:after="0"/>
        <w:ind w:left="714"/>
        <w:rPr>
          <w:rFonts w:cstheme="minorHAnsi"/>
          <w:b/>
          <w:sz w:val="20"/>
          <w:szCs w:val="20"/>
        </w:rPr>
      </w:pPr>
    </w:p>
    <w:p w:rsidR="002B396B" w:rsidRPr="009F421F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 xml:space="preserve">Aprovação </w:t>
      </w:r>
      <w:r w:rsidR="00D135B9" w:rsidRPr="009F421F">
        <w:rPr>
          <w:rFonts w:cstheme="minorHAnsi"/>
          <w:b/>
          <w:sz w:val="20"/>
          <w:szCs w:val="20"/>
        </w:rPr>
        <w:t>da súmula da reuni</w:t>
      </w:r>
      <w:r w:rsidR="00B111F5" w:rsidRPr="009F421F">
        <w:rPr>
          <w:rFonts w:cstheme="minorHAnsi"/>
          <w:b/>
          <w:sz w:val="20"/>
          <w:szCs w:val="20"/>
        </w:rPr>
        <w:t>ão</w:t>
      </w:r>
      <w:r w:rsidR="00D135B9" w:rsidRPr="009F421F">
        <w:rPr>
          <w:rFonts w:cstheme="minorHAnsi"/>
          <w:b/>
          <w:sz w:val="20"/>
          <w:szCs w:val="20"/>
        </w:rPr>
        <w:t xml:space="preserve"> anterior</w:t>
      </w:r>
      <w:r w:rsidR="007073B8" w:rsidRPr="009F421F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9F421F" w:rsidTr="00C915A9">
        <w:trPr>
          <w:trHeight w:val="419"/>
        </w:trPr>
        <w:tc>
          <w:tcPr>
            <w:tcW w:w="1999" w:type="dxa"/>
            <w:vAlign w:val="center"/>
          </w:tcPr>
          <w:p w:rsidR="00721F33" w:rsidRPr="009F421F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9F421F" w:rsidRDefault="00B111F5" w:rsidP="00B111F5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A súmula</w:t>
            </w:r>
            <w:r w:rsidR="007073B8" w:rsidRPr="009F421F">
              <w:rPr>
                <w:rFonts w:cstheme="minorHAnsi"/>
                <w:sz w:val="20"/>
                <w:szCs w:val="20"/>
              </w:rPr>
              <w:t xml:space="preserve"> </w:t>
            </w:r>
            <w:r w:rsidRPr="009F421F">
              <w:rPr>
                <w:rFonts w:cstheme="minorHAnsi"/>
                <w:sz w:val="20"/>
                <w:szCs w:val="20"/>
              </w:rPr>
              <w:t xml:space="preserve">é lida e </w:t>
            </w:r>
            <w:r w:rsidR="007073B8" w:rsidRPr="009F421F">
              <w:rPr>
                <w:rFonts w:cstheme="minorHAnsi"/>
                <w:sz w:val="20"/>
                <w:szCs w:val="20"/>
              </w:rPr>
              <w:t>aprovada por todos</w:t>
            </w:r>
            <w:r w:rsidRPr="009F421F">
              <w:rPr>
                <w:rFonts w:cstheme="minorHAnsi"/>
                <w:sz w:val="20"/>
                <w:szCs w:val="20"/>
              </w:rPr>
              <w:t xml:space="preserve"> e assinada pelo Coordenador.</w:t>
            </w:r>
          </w:p>
        </w:tc>
      </w:tr>
      <w:tr w:rsidR="00721F33" w:rsidRPr="009F421F" w:rsidTr="0046015C">
        <w:trPr>
          <w:trHeight w:val="408"/>
        </w:trPr>
        <w:tc>
          <w:tcPr>
            <w:tcW w:w="1999" w:type="dxa"/>
            <w:vAlign w:val="center"/>
          </w:tcPr>
          <w:p w:rsidR="00721F33" w:rsidRPr="009F421F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9F421F" w:rsidRDefault="007073B8" w:rsidP="00824C2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9F421F" w:rsidRDefault="00B26BCA" w:rsidP="00B26BCA">
      <w:pPr>
        <w:pStyle w:val="PargrafodaLista"/>
        <w:spacing w:before="120" w:after="0"/>
        <w:rPr>
          <w:rFonts w:cstheme="minorHAnsi"/>
          <w:b/>
          <w:sz w:val="20"/>
          <w:szCs w:val="20"/>
        </w:rPr>
      </w:pPr>
    </w:p>
    <w:p w:rsidR="00A57332" w:rsidRPr="009F421F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Comunicações</w:t>
      </w:r>
      <w:r w:rsidR="0032454C" w:rsidRPr="009F421F">
        <w:rPr>
          <w:rFonts w:cstheme="minorHAnsi"/>
          <w:b/>
          <w:sz w:val="20"/>
          <w:szCs w:val="20"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9F421F" w:rsidTr="003D6820">
        <w:trPr>
          <w:trHeight w:val="70"/>
        </w:trPr>
        <w:tc>
          <w:tcPr>
            <w:tcW w:w="1999" w:type="dxa"/>
            <w:vAlign w:val="center"/>
          </w:tcPr>
          <w:p w:rsidR="00E537E0" w:rsidRPr="009F421F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3510" w:rsidRPr="009F421F" w:rsidRDefault="001D7AF8" w:rsidP="00DC0A99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comunicados.</w:t>
            </w:r>
          </w:p>
        </w:tc>
      </w:tr>
      <w:tr w:rsidR="00E537E0" w:rsidRPr="009F421F" w:rsidTr="0046015C">
        <w:trPr>
          <w:trHeight w:val="394"/>
        </w:trPr>
        <w:tc>
          <w:tcPr>
            <w:tcW w:w="1999" w:type="dxa"/>
            <w:vAlign w:val="center"/>
          </w:tcPr>
          <w:p w:rsidR="00E537E0" w:rsidRPr="009F421F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9F421F" w:rsidRDefault="001D7AF8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26BCA" w:rsidRPr="009F421F" w:rsidRDefault="00B26BCA" w:rsidP="00B26BCA">
      <w:pPr>
        <w:pStyle w:val="PargrafodaLista"/>
        <w:spacing w:before="120" w:after="0"/>
        <w:rPr>
          <w:rFonts w:cstheme="minorHAnsi"/>
          <w:b/>
          <w:sz w:val="20"/>
          <w:szCs w:val="20"/>
        </w:rPr>
      </w:pPr>
    </w:p>
    <w:p w:rsidR="00DC0A99" w:rsidRPr="009F421F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Ordem do dia</w:t>
      </w:r>
      <w:r w:rsidR="00ED54B8" w:rsidRPr="009F421F">
        <w:rPr>
          <w:rFonts w:cstheme="minorHAnsi"/>
          <w:b/>
          <w:sz w:val="20"/>
          <w:szCs w:val="20"/>
        </w:rPr>
        <w:t>.</w:t>
      </w:r>
    </w:p>
    <w:p w:rsidR="00FA7C39" w:rsidRPr="009F421F" w:rsidRDefault="00182B51" w:rsidP="00FB56F7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 xml:space="preserve">Pauta da </w:t>
      </w:r>
      <w:r w:rsidR="00034F16" w:rsidRPr="009F421F">
        <w:rPr>
          <w:rFonts w:cstheme="minorHAnsi"/>
          <w:b/>
          <w:sz w:val="20"/>
          <w:szCs w:val="20"/>
        </w:rPr>
        <w:t>Ger</w:t>
      </w:r>
      <w:r w:rsidR="00692523" w:rsidRPr="009F421F">
        <w:rPr>
          <w:rFonts w:cstheme="minorHAnsi"/>
          <w:b/>
          <w:sz w:val="20"/>
          <w:szCs w:val="20"/>
        </w:rPr>
        <w:t xml:space="preserve">ência </w:t>
      </w:r>
      <w:r w:rsidR="00FA7C39" w:rsidRPr="009F421F">
        <w:rPr>
          <w:rFonts w:cstheme="minorHAnsi"/>
          <w:b/>
          <w:sz w:val="20"/>
          <w:szCs w:val="20"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9F421F" w:rsidTr="0046015C">
        <w:trPr>
          <w:trHeight w:val="697"/>
        </w:trPr>
        <w:tc>
          <w:tcPr>
            <w:tcW w:w="1999" w:type="dxa"/>
            <w:vAlign w:val="center"/>
          </w:tcPr>
          <w:p w:rsidR="00182B51" w:rsidRPr="009F421F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0A99" w:rsidRPr="009F421F" w:rsidRDefault="00DC0A99" w:rsidP="00FB56F7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hanging="1272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Plano de Ação 2018:</w:t>
            </w:r>
          </w:p>
          <w:p w:rsidR="00F35F62" w:rsidRPr="009F421F" w:rsidRDefault="00F35F62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Sobre o Plano de Ação de 2018, o Gerente Geral Tales e o Coordenador da Unidade de Planejamento, William </w:t>
            </w:r>
            <w:proofErr w:type="spellStart"/>
            <w:r w:rsidRPr="009F421F">
              <w:rPr>
                <w:rFonts w:cstheme="minorHAnsi"/>
                <w:sz w:val="20"/>
                <w:szCs w:val="20"/>
              </w:rPr>
              <w:t>Gritti</w:t>
            </w:r>
            <w:proofErr w:type="spellEnd"/>
            <w:r w:rsidRPr="009F421F">
              <w:rPr>
                <w:rFonts w:cstheme="minorHAnsi"/>
                <w:sz w:val="20"/>
                <w:szCs w:val="20"/>
              </w:rPr>
              <w:t>, explicam as definições das demais</w:t>
            </w:r>
            <w:r w:rsidR="00AF4497" w:rsidRPr="009F421F">
              <w:rPr>
                <w:rFonts w:cstheme="minorHAnsi"/>
                <w:sz w:val="20"/>
                <w:szCs w:val="20"/>
              </w:rPr>
              <w:t xml:space="preserve"> Comissões</w:t>
            </w:r>
            <w:r w:rsidRPr="009F421F">
              <w:rPr>
                <w:rFonts w:cstheme="minorHAnsi"/>
                <w:sz w:val="20"/>
                <w:szCs w:val="20"/>
              </w:rPr>
              <w:t xml:space="preserve"> quanto à redução de custos</w:t>
            </w:r>
            <w:r w:rsidR="00AF4497" w:rsidRPr="009F421F">
              <w:rPr>
                <w:rFonts w:cstheme="minorHAnsi"/>
                <w:sz w:val="20"/>
                <w:szCs w:val="20"/>
              </w:rPr>
              <w:t xml:space="preserve">, conforme </w:t>
            </w:r>
            <w:r w:rsidRPr="009F421F">
              <w:rPr>
                <w:rFonts w:cstheme="minorHAnsi"/>
                <w:sz w:val="20"/>
                <w:szCs w:val="20"/>
              </w:rPr>
              <w:t>estabelecid</w:t>
            </w:r>
            <w:r w:rsidR="00AF4497" w:rsidRPr="009F421F">
              <w:rPr>
                <w:rFonts w:cstheme="minorHAnsi"/>
                <w:sz w:val="20"/>
                <w:szCs w:val="20"/>
              </w:rPr>
              <w:t>o</w:t>
            </w:r>
            <w:r w:rsidRPr="009F421F">
              <w:rPr>
                <w:rFonts w:cstheme="minorHAnsi"/>
                <w:sz w:val="20"/>
                <w:szCs w:val="20"/>
              </w:rPr>
              <w:t xml:space="preserve"> pelo CAU/BR.</w:t>
            </w:r>
          </w:p>
          <w:p w:rsidR="00F35F62" w:rsidRPr="009F421F" w:rsidRDefault="00F35F62" w:rsidP="00F35F62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Ao analisar o Plano</w:t>
            </w:r>
            <w:r w:rsidR="00D01840" w:rsidRPr="009F421F">
              <w:rPr>
                <w:rFonts w:cstheme="minorHAnsi"/>
                <w:sz w:val="20"/>
                <w:szCs w:val="20"/>
              </w:rPr>
              <w:t xml:space="preserve"> das Comissões, </w:t>
            </w:r>
            <w:r w:rsidRPr="009F421F">
              <w:rPr>
                <w:rFonts w:cstheme="minorHAnsi"/>
                <w:sz w:val="20"/>
                <w:szCs w:val="20"/>
              </w:rPr>
              <w:t>o</w:t>
            </w:r>
            <w:r w:rsidR="00D01840" w:rsidRPr="009F421F">
              <w:rPr>
                <w:rFonts w:cstheme="minorHAnsi"/>
                <w:sz w:val="20"/>
                <w:szCs w:val="20"/>
              </w:rPr>
              <w:t>s</w:t>
            </w:r>
            <w:r w:rsidRPr="009F421F">
              <w:rPr>
                <w:rFonts w:cstheme="minorHAnsi"/>
                <w:sz w:val="20"/>
                <w:szCs w:val="20"/>
              </w:rPr>
              <w:t xml:space="preserve"> </w:t>
            </w:r>
            <w:r w:rsidR="00D01840" w:rsidRPr="009F421F">
              <w:rPr>
                <w:rFonts w:cstheme="minorHAnsi"/>
                <w:sz w:val="20"/>
                <w:szCs w:val="20"/>
              </w:rPr>
              <w:t xml:space="preserve">Conselheiros </w:t>
            </w:r>
            <w:r w:rsidRPr="009F421F">
              <w:rPr>
                <w:rFonts w:cstheme="minorHAnsi"/>
                <w:sz w:val="20"/>
                <w:szCs w:val="20"/>
              </w:rPr>
              <w:t>identifica</w:t>
            </w:r>
            <w:r w:rsidR="00D01840" w:rsidRPr="009F421F">
              <w:rPr>
                <w:rFonts w:cstheme="minorHAnsi"/>
                <w:sz w:val="20"/>
                <w:szCs w:val="20"/>
              </w:rPr>
              <w:t>m</w:t>
            </w:r>
            <w:r w:rsidRPr="009F421F">
              <w:rPr>
                <w:rFonts w:cstheme="minorHAnsi"/>
                <w:sz w:val="20"/>
                <w:szCs w:val="20"/>
              </w:rPr>
              <w:t xml:space="preserve"> que a CEP/RS não alterou o número de Conselheiros participantes das iniciativas externas e, sendo assim, observando a obrigatoriedade de redução de custos no orçamento, a CPF/RS decide </w:t>
            </w:r>
            <w:r w:rsidRPr="009F421F">
              <w:rPr>
                <w:rFonts w:cstheme="minorHAnsi"/>
                <w:sz w:val="20"/>
                <w:szCs w:val="20"/>
              </w:rPr>
              <w:lastRenderedPageBreak/>
              <w:t xml:space="preserve">reduzir para 02 (dois) o número de </w:t>
            </w:r>
            <w:r w:rsidR="00D01840" w:rsidRPr="009F421F">
              <w:rPr>
                <w:rFonts w:cstheme="minorHAnsi"/>
                <w:sz w:val="20"/>
                <w:szCs w:val="20"/>
              </w:rPr>
              <w:t xml:space="preserve">representantes da Comissão nas promoções </w:t>
            </w:r>
            <w:r w:rsidRPr="009F421F">
              <w:rPr>
                <w:rFonts w:cstheme="minorHAnsi"/>
                <w:sz w:val="20"/>
                <w:szCs w:val="20"/>
              </w:rPr>
              <w:t>externas, o que se aplica à todas as Comissões</w:t>
            </w:r>
          </w:p>
          <w:p w:rsidR="00F35F62" w:rsidRPr="009F421F" w:rsidRDefault="00F35F62" w:rsidP="00F35F62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F35F62" w:rsidRPr="009F421F" w:rsidRDefault="00D01840" w:rsidP="00FB3B0A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Ainda como medida de redução, </w:t>
            </w:r>
            <w:r w:rsidR="00F35F62" w:rsidRPr="009F421F">
              <w:rPr>
                <w:rFonts w:cstheme="minorHAnsi"/>
                <w:sz w:val="20"/>
                <w:szCs w:val="20"/>
              </w:rPr>
              <w:t xml:space="preserve">a Comissão </w:t>
            </w:r>
            <w:r w:rsidRPr="009F421F">
              <w:rPr>
                <w:rFonts w:cstheme="minorHAnsi"/>
                <w:sz w:val="20"/>
                <w:szCs w:val="20"/>
              </w:rPr>
              <w:t xml:space="preserve">também </w:t>
            </w:r>
            <w:r w:rsidR="00F35F62" w:rsidRPr="009F421F">
              <w:rPr>
                <w:rFonts w:cstheme="minorHAnsi"/>
                <w:sz w:val="20"/>
                <w:szCs w:val="20"/>
              </w:rPr>
              <w:t>decide não reajustar o valor da diária no próximo ano</w:t>
            </w:r>
            <w:r w:rsidRPr="009F421F">
              <w:rPr>
                <w:rFonts w:cstheme="minorHAnsi"/>
                <w:sz w:val="20"/>
                <w:szCs w:val="20"/>
              </w:rPr>
              <w:t xml:space="preserve"> e</w:t>
            </w:r>
            <w:r w:rsidR="00F35F62" w:rsidRPr="009F421F">
              <w:rPr>
                <w:rFonts w:cstheme="minorHAnsi"/>
                <w:sz w:val="20"/>
                <w:szCs w:val="20"/>
              </w:rPr>
              <w:t xml:space="preserve"> diminuir </w:t>
            </w:r>
            <w:r w:rsidRPr="009F421F">
              <w:rPr>
                <w:rFonts w:cstheme="minorHAnsi"/>
                <w:sz w:val="20"/>
                <w:szCs w:val="20"/>
              </w:rPr>
              <w:t xml:space="preserve">o número </w:t>
            </w:r>
            <w:r w:rsidR="00F35F62" w:rsidRPr="009F421F">
              <w:rPr>
                <w:rFonts w:cstheme="minorHAnsi"/>
                <w:sz w:val="20"/>
                <w:szCs w:val="20"/>
              </w:rPr>
              <w:t xml:space="preserve">de horas trabalhadas </w:t>
            </w:r>
            <w:r w:rsidRPr="009F421F">
              <w:rPr>
                <w:rFonts w:cstheme="minorHAnsi"/>
                <w:sz w:val="20"/>
                <w:szCs w:val="20"/>
              </w:rPr>
              <w:t>estabelecidas no contrato de artífice.</w:t>
            </w:r>
            <w:r w:rsidR="009F421F" w:rsidRPr="009F421F">
              <w:rPr>
                <w:rFonts w:cstheme="minorHAnsi"/>
                <w:sz w:val="20"/>
                <w:szCs w:val="20"/>
              </w:rPr>
              <w:t xml:space="preserve"> Quanto ao </w:t>
            </w:r>
            <w:r w:rsidR="00FB3B0A" w:rsidRPr="009F421F">
              <w:rPr>
                <w:rFonts w:cstheme="minorHAnsi"/>
                <w:sz w:val="20"/>
                <w:szCs w:val="20"/>
              </w:rPr>
              <w:t xml:space="preserve">orçamento da Comissão, </w:t>
            </w:r>
            <w:r w:rsidR="009F421F" w:rsidRPr="009F421F">
              <w:rPr>
                <w:rFonts w:cstheme="minorHAnsi"/>
                <w:sz w:val="20"/>
                <w:szCs w:val="20"/>
              </w:rPr>
              <w:t xml:space="preserve">a mesma decide </w:t>
            </w:r>
            <w:r w:rsidR="00FB3B0A" w:rsidRPr="009F421F">
              <w:rPr>
                <w:rFonts w:cstheme="minorHAnsi"/>
                <w:sz w:val="20"/>
                <w:szCs w:val="20"/>
              </w:rPr>
              <w:t>fixar em 02 (duas) o número de reuniões extraordinárias em 2018.</w:t>
            </w:r>
          </w:p>
          <w:p w:rsidR="00F35F62" w:rsidRPr="009F421F" w:rsidRDefault="00F35F62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371BE6" w:rsidRPr="009F421F" w:rsidRDefault="00FB3B0A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O</w:t>
            </w:r>
            <w:r w:rsidR="00371BE6" w:rsidRPr="009F421F">
              <w:rPr>
                <w:rFonts w:cstheme="minorHAnsi"/>
                <w:sz w:val="20"/>
                <w:szCs w:val="20"/>
              </w:rPr>
              <w:t xml:space="preserve"> Presidente</w:t>
            </w:r>
            <w:r w:rsidR="00F35F62" w:rsidRPr="009F421F">
              <w:rPr>
                <w:rFonts w:cstheme="minorHAnsi"/>
                <w:sz w:val="20"/>
                <w:szCs w:val="20"/>
              </w:rPr>
              <w:t xml:space="preserve"> Joaquim </w:t>
            </w:r>
            <w:r w:rsidR="00371BE6" w:rsidRPr="009F421F">
              <w:rPr>
                <w:rFonts w:cstheme="minorHAnsi"/>
                <w:sz w:val="20"/>
                <w:szCs w:val="20"/>
              </w:rPr>
              <w:t xml:space="preserve">fala que nos próximos meses </w:t>
            </w:r>
            <w:r w:rsidR="00F35F62" w:rsidRPr="009F421F">
              <w:rPr>
                <w:rFonts w:cstheme="minorHAnsi"/>
                <w:sz w:val="20"/>
                <w:szCs w:val="20"/>
              </w:rPr>
              <w:t xml:space="preserve">o CAU/BR lançará </w:t>
            </w:r>
            <w:r w:rsidR="00371BE6" w:rsidRPr="009F421F">
              <w:rPr>
                <w:rFonts w:cstheme="minorHAnsi"/>
                <w:sz w:val="20"/>
                <w:szCs w:val="20"/>
              </w:rPr>
              <w:t>edital para a contratação de estrutura para a realização de reuniões por vídeo conferência, o que reduzirá significativamente os custos com viagem. Diz que isso também possibilitará a participação de maior número de funcionários, principalmente quando tratar-se de treinamento técnico.</w:t>
            </w:r>
          </w:p>
          <w:p w:rsidR="00FE0859" w:rsidRPr="009F421F" w:rsidRDefault="00FE0859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E152A1" w:rsidRPr="009F421F" w:rsidRDefault="00E152A1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A Comissão registra que as definições são embasadas nas informações atuais e na visão desta Gestão. Contudo, há a possibilidade de realocação de recursos, conforme entendimento dos Conselheiros da futura Gestão, considerando as reprogramações orçamentárias anuais.</w:t>
            </w:r>
          </w:p>
          <w:p w:rsidR="00E152A1" w:rsidRPr="009F421F" w:rsidRDefault="00E152A1" w:rsidP="00DC0A99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692523" w:rsidRPr="009F421F" w:rsidRDefault="00B170B2" w:rsidP="00FB56F7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hanging="1272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Transposição</w:t>
            </w:r>
            <w:r w:rsidR="00FA7C39" w:rsidRPr="009F421F">
              <w:rPr>
                <w:rFonts w:cstheme="minorHAnsi"/>
                <w:b/>
                <w:sz w:val="20"/>
                <w:szCs w:val="20"/>
              </w:rPr>
              <w:t xml:space="preserve"> orçamentária:</w:t>
            </w:r>
          </w:p>
          <w:p w:rsidR="006F09BE" w:rsidRPr="009F421F" w:rsidRDefault="00B170B2" w:rsidP="001D7AF8">
            <w:pPr>
              <w:tabs>
                <w:tab w:val="left" w:pos="582"/>
              </w:tabs>
              <w:ind w:left="15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Deliberação CPF-CAU/RS</w:t>
            </w:r>
            <w:r w:rsidR="001D7AF8" w:rsidRPr="009F421F">
              <w:rPr>
                <w:rFonts w:cstheme="minorHAnsi"/>
                <w:sz w:val="20"/>
                <w:szCs w:val="20"/>
              </w:rPr>
              <w:t xml:space="preserve"> nº 151/2017 - Transposição de Verba para Complementação de Valor para Ação do Plano de Ação 2017: aprovada pela Comissão e encaminhada ao Plenário.</w:t>
            </w:r>
          </w:p>
        </w:tc>
      </w:tr>
      <w:tr w:rsidR="00182B51" w:rsidRPr="009F421F" w:rsidTr="0046015C">
        <w:trPr>
          <w:trHeight w:val="464"/>
        </w:trPr>
        <w:tc>
          <w:tcPr>
            <w:tcW w:w="1999" w:type="dxa"/>
            <w:vAlign w:val="center"/>
          </w:tcPr>
          <w:p w:rsidR="00182B51" w:rsidRPr="009F421F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9F421F" w:rsidRDefault="006F09BE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AF7293" w:rsidRPr="009F421F" w:rsidRDefault="00AF7293" w:rsidP="00EE3C5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9F421F" w:rsidRPr="009F421F" w:rsidRDefault="009F421F" w:rsidP="00EE3C5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B170B2" w:rsidRPr="009F421F" w:rsidRDefault="00B170B2" w:rsidP="00EE3C5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5.2 Pauta da Gerência Administrativa.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9F421F" w:rsidTr="001D7AF8">
        <w:trPr>
          <w:trHeight w:val="983"/>
        </w:trPr>
        <w:tc>
          <w:tcPr>
            <w:tcW w:w="1999" w:type="dxa"/>
            <w:vAlign w:val="center"/>
          </w:tcPr>
          <w:p w:rsidR="00B170B2" w:rsidRPr="009F421F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70B2" w:rsidRPr="009F421F" w:rsidRDefault="00B170B2" w:rsidP="00FB56F7">
            <w:pPr>
              <w:pStyle w:val="PargrafodaLista"/>
              <w:numPr>
                <w:ilvl w:val="2"/>
                <w:numId w:val="3"/>
              </w:numPr>
              <w:tabs>
                <w:tab w:val="left" w:pos="582"/>
              </w:tabs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Acompanhamento a aquisição de imóveis (pauta fixa):</w:t>
            </w:r>
          </w:p>
          <w:p w:rsidR="00B170B2" w:rsidRPr="009F421F" w:rsidRDefault="001D7AF8" w:rsidP="009F0EC1">
            <w:pPr>
              <w:shd w:val="clear" w:color="auto" w:fill="FFFFFF"/>
              <w:tabs>
                <w:tab w:val="left" w:pos="284"/>
                <w:tab w:val="left" w:pos="582"/>
              </w:tabs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O Gerente Tales diz que falou com o proprietário do 13º pavimento, que disponibilizou a escritura do imóvel para o CAU/RS fazer a avaliação e que, conforme fo</w:t>
            </w:r>
            <w:r w:rsidR="009F0EC1" w:rsidRPr="009F421F">
              <w:rPr>
                <w:rFonts w:cstheme="minorHAnsi"/>
                <w:sz w:val="20"/>
                <w:szCs w:val="20"/>
              </w:rPr>
              <w:t>r a proposta apresentada pelo Conselho</w:t>
            </w:r>
            <w:r w:rsidRPr="009F421F">
              <w:rPr>
                <w:rFonts w:cstheme="minorHAnsi"/>
                <w:sz w:val="20"/>
                <w:szCs w:val="20"/>
              </w:rPr>
              <w:t>, pode haver interesse na venda.</w:t>
            </w:r>
          </w:p>
        </w:tc>
      </w:tr>
      <w:tr w:rsidR="00B170B2" w:rsidRPr="009F421F" w:rsidTr="00BD3DFE">
        <w:trPr>
          <w:trHeight w:val="341"/>
        </w:trPr>
        <w:tc>
          <w:tcPr>
            <w:tcW w:w="1999" w:type="dxa"/>
            <w:vAlign w:val="center"/>
          </w:tcPr>
          <w:p w:rsidR="00B170B2" w:rsidRPr="009F421F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9F421F" w:rsidRDefault="001D7AF8" w:rsidP="00BD3DF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170B2" w:rsidRPr="009F421F" w:rsidRDefault="00B170B2" w:rsidP="00EE3C5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FA7C39" w:rsidRPr="009F421F" w:rsidRDefault="00FA7C39" w:rsidP="00FB56F7">
      <w:pPr>
        <w:pStyle w:val="PargrafodaLista"/>
        <w:numPr>
          <w:ilvl w:val="1"/>
          <w:numId w:val="3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9F421F" w:rsidTr="00C40EAC">
        <w:trPr>
          <w:trHeight w:val="136"/>
        </w:trPr>
        <w:tc>
          <w:tcPr>
            <w:tcW w:w="1999" w:type="dxa"/>
            <w:vAlign w:val="center"/>
          </w:tcPr>
          <w:p w:rsidR="00FA7C39" w:rsidRPr="009F421F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70B2" w:rsidRPr="009F421F" w:rsidRDefault="00B170B2" w:rsidP="00FB56F7">
            <w:pPr>
              <w:pStyle w:val="PargrafodaLista"/>
              <w:numPr>
                <w:ilvl w:val="2"/>
                <w:numId w:val="3"/>
              </w:numPr>
              <w:shd w:val="clear" w:color="auto" w:fill="FFFFFF"/>
              <w:tabs>
                <w:tab w:val="left" w:pos="284"/>
                <w:tab w:val="left" w:pos="582"/>
              </w:tabs>
              <w:ind w:left="15" w:firstLine="0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Retorno sobre o prazo para pagamento das diárias de reuniões aos Conselheiros:</w:t>
            </w:r>
          </w:p>
          <w:p w:rsidR="00FA7C39" w:rsidRPr="009F421F" w:rsidRDefault="009F0EC1" w:rsidP="00DC0A99">
            <w:pPr>
              <w:pStyle w:val="PargrafodaLista"/>
              <w:tabs>
                <w:tab w:val="left" w:pos="156"/>
                <w:tab w:val="left" w:pos="851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A Gerente Cheila fala que o prazo para entrega da lista de presença e da convocação no Financeiro é </w:t>
            </w:r>
            <w:r w:rsidR="00E152A1" w:rsidRPr="009F421F">
              <w:rPr>
                <w:rFonts w:cstheme="minorHAnsi"/>
                <w:sz w:val="20"/>
                <w:szCs w:val="20"/>
              </w:rPr>
              <w:t xml:space="preserve">a manhã de </w:t>
            </w:r>
            <w:r w:rsidRPr="009F421F">
              <w:rPr>
                <w:rFonts w:cstheme="minorHAnsi"/>
                <w:sz w:val="20"/>
                <w:szCs w:val="20"/>
              </w:rPr>
              <w:t xml:space="preserve">quarta-feira, visto </w:t>
            </w:r>
            <w:r w:rsidR="00802D46" w:rsidRPr="009F421F">
              <w:rPr>
                <w:rFonts w:cstheme="minorHAnsi"/>
                <w:sz w:val="20"/>
                <w:szCs w:val="20"/>
              </w:rPr>
              <w:t>ser</w:t>
            </w:r>
            <w:r w:rsidRPr="009F421F">
              <w:rPr>
                <w:rFonts w:cstheme="minorHAnsi"/>
                <w:sz w:val="20"/>
                <w:szCs w:val="20"/>
              </w:rPr>
              <w:t xml:space="preserve"> o tempo limite para a programação do pagamento para a mesma semana. Os Conselheiros questionam por</w:t>
            </w:r>
            <w:r w:rsidR="00802D46" w:rsidRPr="009F421F">
              <w:rPr>
                <w:rFonts w:cstheme="minorHAnsi"/>
                <w:sz w:val="20"/>
                <w:szCs w:val="20"/>
              </w:rPr>
              <w:t xml:space="preserve">que </w:t>
            </w:r>
            <w:r w:rsidRPr="009F421F">
              <w:rPr>
                <w:rFonts w:cstheme="minorHAnsi"/>
                <w:sz w:val="20"/>
                <w:szCs w:val="20"/>
              </w:rPr>
              <w:t xml:space="preserve">os documentos não são entregues nesse prazo e a Secretária Executiva Carla Lago explica que o Memorando enviado pela CEP às Secretárias Executivas do Conselho, em 2015, não estabelece o dia da semana para entrega dos documentos, mas o prazo de até 24h. Neste sentido, informa que nem sempre é possível sair da reunião da Comissão e entregar a lista ao Financeiro imediatamente, em virtude de situações urgentes </w:t>
            </w:r>
            <w:r w:rsidR="00802D46" w:rsidRPr="009F421F">
              <w:rPr>
                <w:rFonts w:cstheme="minorHAnsi"/>
                <w:sz w:val="20"/>
                <w:szCs w:val="20"/>
              </w:rPr>
              <w:t xml:space="preserve">e da necessidade de lançamento no SISPAD </w:t>
            </w:r>
            <w:r w:rsidRPr="009F421F">
              <w:rPr>
                <w:rFonts w:cstheme="minorHAnsi"/>
                <w:sz w:val="20"/>
                <w:szCs w:val="20"/>
              </w:rPr>
              <w:t>e até mesmo organização de reunião que ocorrerá na quarta-feira pela manhã.</w:t>
            </w:r>
          </w:p>
          <w:p w:rsidR="009F0EC1" w:rsidRPr="009F421F" w:rsidRDefault="009F0EC1" w:rsidP="00A04A8C">
            <w:pPr>
              <w:pStyle w:val="PargrafodaLista"/>
              <w:tabs>
                <w:tab w:val="left" w:pos="156"/>
                <w:tab w:val="left" w:pos="851"/>
              </w:tabs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Fica então estabelecido que</w:t>
            </w:r>
            <w:r w:rsidR="00A04A8C" w:rsidRPr="009F421F">
              <w:rPr>
                <w:rFonts w:cstheme="minorHAnsi"/>
                <w:sz w:val="20"/>
                <w:szCs w:val="20"/>
              </w:rPr>
              <w:t xml:space="preserve"> as diári</w:t>
            </w:r>
            <w:r w:rsidRPr="009F421F">
              <w:rPr>
                <w:rFonts w:cstheme="minorHAnsi"/>
                <w:sz w:val="20"/>
                <w:szCs w:val="20"/>
              </w:rPr>
              <w:t>as</w:t>
            </w:r>
            <w:r w:rsidR="00A04A8C" w:rsidRPr="009F421F">
              <w:rPr>
                <w:rFonts w:cstheme="minorHAnsi"/>
                <w:sz w:val="20"/>
                <w:szCs w:val="20"/>
              </w:rPr>
              <w:t xml:space="preserve"> referentes às </w:t>
            </w:r>
            <w:r w:rsidRPr="009F421F">
              <w:rPr>
                <w:rFonts w:cstheme="minorHAnsi"/>
                <w:sz w:val="20"/>
                <w:szCs w:val="20"/>
              </w:rPr>
              <w:t xml:space="preserve">reuniões ocorridas até segunda-feira serão pagas na mesma semana e as demais </w:t>
            </w:r>
            <w:r w:rsidR="00A04A8C" w:rsidRPr="009F421F">
              <w:rPr>
                <w:rFonts w:cstheme="minorHAnsi"/>
                <w:sz w:val="20"/>
                <w:szCs w:val="20"/>
              </w:rPr>
              <w:t>na semana subsequente.</w:t>
            </w:r>
          </w:p>
        </w:tc>
      </w:tr>
      <w:tr w:rsidR="00FA7C39" w:rsidRPr="009F421F" w:rsidTr="00A926EF">
        <w:trPr>
          <w:trHeight w:val="341"/>
        </w:trPr>
        <w:tc>
          <w:tcPr>
            <w:tcW w:w="1999" w:type="dxa"/>
            <w:vAlign w:val="center"/>
          </w:tcPr>
          <w:p w:rsidR="00FA7C39" w:rsidRPr="009F421F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9F421F" w:rsidRDefault="001D7AF8" w:rsidP="00C40EAC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685EF8" w:rsidRPr="009F421F" w:rsidRDefault="00685EF8" w:rsidP="00FA7C39">
      <w:p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</w:p>
    <w:p w:rsidR="00B3385F" w:rsidRPr="009F421F" w:rsidRDefault="00B170B2" w:rsidP="00FB56F7">
      <w:pPr>
        <w:pStyle w:val="PargrafodaLista"/>
        <w:numPr>
          <w:ilvl w:val="1"/>
          <w:numId w:val="3"/>
        </w:numPr>
        <w:shd w:val="clear" w:color="auto" w:fill="FFFFFF"/>
        <w:tabs>
          <w:tab w:val="left" w:pos="709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lastRenderedPageBreak/>
        <w:t>Relatório de Gestão.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3385F" w:rsidRPr="009F421F" w:rsidTr="00A926EF">
        <w:trPr>
          <w:trHeight w:val="414"/>
        </w:trPr>
        <w:tc>
          <w:tcPr>
            <w:tcW w:w="1999" w:type="dxa"/>
            <w:vAlign w:val="center"/>
          </w:tcPr>
          <w:p w:rsidR="00B3385F" w:rsidRPr="009F421F" w:rsidRDefault="00B3385F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61DC5" w:rsidRPr="009F421F" w:rsidRDefault="00802D46" w:rsidP="001727FD">
            <w:pPr>
              <w:tabs>
                <w:tab w:val="left" w:pos="298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Os Assessores Jurídicos Flávio Silva e Jaime Leo </w:t>
            </w:r>
            <w:r w:rsidR="00AF7293" w:rsidRPr="009F421F">
              <w:rPr>
                <w:rFonts w:cstheme="minorHAnsi"/>
                <w:sz w:val="20"/>
                <w:szCs w:val="20"/>
              </w:rPr>
              <w:t>apresenta os gráficos das cobranças de anuidades e as execuções fiscais</w:t>
            </w:r>
            <w:r w:rsidR="00A04A8C" w:rsidRPr="009F421F">
              <w:rPr>
                <w:rFonts w:cstheme="minorHAnsi"/>
                <w:sz w:val="20"/>
                <w:szCs w:val="20"/>
              </w:rPr>
              <w:t xml:space="preserve"> que constarão no Relatório da Comissão</w:t>
            </w:r>
            <w:r w:rsidR="00AF7293" w:rsidRPr="009F421F">
              <w:rPr>
                <w:rFonts w:cstheme="minorHAnsi"/>
                <w:sz w:val="20"/>
                <w:szCs w:val="20"/>
              </w:rPr>
              <w:t>.</w:t>
            </w:r>
          </w:p>
          <w:p w:rsidR="00A04A8C" w:rsidRPr="009F421F" w:rsidRDefault="00A04A8C" w:rsidP="000F4C96">
            <w:pPr>
              <w:tabs>
                <w:tab w:val="left" w:pos="298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A apresentação </w:t>
            </w:r>
            <w:r w:rsidR="000F4C96" w:rsidRPr="009F421F">
              <w:rPr>
                <w:rFonts w:cstheme="minorHAnsi"/>
                <w:sz w:val="20"/>
                <w:szCs w:val="20"/>
              </w:rPr>
              <w:t xml:space="preserve">da versão finalizada </w:t>
            </w:r>
            <w:r w:rsidRPr="009F421F">
              <w:rPr>
                <w:rFonts w:cstheme="minorHAnsi"/>
                <w:sz w:val="20"/>
                <w:szCs w:val="20"/>
              </w:rPr>
              <w:t>deverá ser pautada para a próxima reunião da Comissão.</w:t>
            </w:r>
          </w:p>
        </w:tc>
      </w:tr>
      <w:tr w:rsidR="00B3385F" w:rsidRPr="009F421F" w:rsidTr="00A926EF">
        <w:trPr>
          <w:trHeight w:val="421"/>
        </w:trPr>
        <w:tc>
          <w:tcPr>
            <w:tcW w:w="1999" w:type="dxa"/>
            <w:vAlign w:val="center"/>
          </w:tcPr>
          <w:p w:rsidR="00B3385F" w:rsidRPr="009F421F" w:rsidRDefault="00B3385F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3385F" w:rsidRPr="009F421F" w:rsidRDefault="00A04A8C" w:rsidP="00580D0A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000AE1" w:rsidRPr="009F421F" w:rsidRDefault="00000AE1" w:rsidP="00000AE1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284"/>
        <w:rPr>
          <w:rFonts w:cstheme="minorHAnsi"/>
          <w:b/>
          <w:sz w:val="20"/>
          <w:szCs w:val="20"/>
        </w:rPr>
      </w:pPr>
    </w:p>
    <w:p w:rsidR="00B170B2" w:rsidRPr="009F421F" w:rsidRDefault="00B170B2" w:rsidP="00FB56F7">
      <w:pPr>
        <w:pStyle w:val="PargrafodaLista"/>
        <w:numPr>
          <w:ilvl w:val="1"/>
          <w:numId w:val="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9F421F" w:rsidTr="00BD3DFE">
        <w:trPr>
          <w:trHeight w:val="420"/>
        </w:trPr>
        <w:tc>
          <w:tcPr>
            <w:tcW w:w="1999" w:type="dxa"/>
            <w:vAlign w:val="center"/>
          </w:tcPr>
          <w:p w:rsidR="00B170B2" w:rsidRPr="009F421F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70B2" w:rsidRPr="009F421F" w:rsidRDefault="00AF7293" w:rsidP="00A04A8C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Não há processos </w:t>
            </w:r>
            <w:r w:rsidR="00A04A8C" w:rsidRPr="009F421F">
              <w:rPr>
                <w:rFonts w:cstheme="minorHAnsi"/>
                <w:sz w:val="20"/>
                <w:szCs w:val="20"/>
              </w:rPr>
              <w:t>a serem analisados</w:t>
            </w:r>
            <w:r w:rsidRPr="009F421F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170B2" w:rsidRPr="009F421F" w:rsidTr="00BD3DFE">
        <w:trPr>
          <w:trHeight w:val="412"/>
        </w:trPr>
        <w:tc>
          <w:tcPr>
            <w:tcW w:w="1999" w:type="dxa"/>
            <w:vAlign w:val="center"/>
          </w:tcPr>
          <w:p w:rsidR="00B170B2" w:rsidRPr="009F421F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9F421F" w:rsidRDefault="00A04A8C" w:rsidP="00BD3DFE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B170B2" w:rsidRPr="009F421F" w:rsidRDefault="00B170B2" w:rsidP="00B170B2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/>
        <w:ind w:left="435"/>
        <w:rPr>
          <w:rFonts w:cstheme="minorHAnsi"/>
          <w:b/>
          <w:sz w:val="20"/>
          <w:szCs w:val="20"/>
        </w:rPr>
      </w:pPr>
    </w:p>
    <w:p w:rsidR="005A6D90" w:rsidRPr="009F421F" w:rsidRDefault="005A6D90" w:rsidP="00FB56F7">
      <w:pPr>
        <w:pStyle w:val="PargrafodaLista"/>
        <w:numPr>
          <w:ilvl w:val="0"/>
          <w:numId w:val="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9F421F" w:rsidTr="00A926EF">
        <w:trPr>
          <w:trHeight w:val="420"/>
        </w:trPr>
        <w:tc>
          <w:tcPr>
            <w:tcW w:w="1999" w:type="dxa"/>
            <w:vAlign w:val="center"/>
          </w:tcPr>
          <w:p w:rsidR="005A6D90" w:rsidRPr="009F421F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0915" w:rsidRPr="009F421F" w:rsidRDefault="00AF7293" w:rsidP="00A04A8C">
            <w:pPr>
              <w:pStyle w:val="PargrafodaLista"/>
              <w:numPr>
                <w:ilvl w:val="0"/>
                <w:numId w:val="4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Apresentação</w:t>
            </w:r>
            <w:r w:rsidR="00A04A8C" w:rsidRPr="009F421F">
              <w:rPr>
                <w:rFonts w:cstheme="minorHAnsi"/>
                <w:sz w:val="20"/>
                <w:szCs w:val="20"/>
              </w:rPr>
              <w:t xml:space="preserve"> do balancete de agosto de 2017;</w:t>
            </w:r>
          </w:p>
          <w:p w:rsidR="002D1594" w:rsidRPr="009F421F" w:rsidRDefault="002D1594" w:rsidP="00A04A8C">
            <w:pPr>
              <w:pStyle w:val="PargrafodaLista"/>
              <w:numPr>
                <w:ilvl w:val="0"/>
                <w:numId w:val="4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 xml:space="preserve">Relatório da </w:t>
            </w:r>
            <w:r w:rsidR="00A04A8C" w:rsidRPr="009F421F">
              <w:rPr>
                <w:rFonts w:cstheme="minorHAnsi"/>
                <w:sz w:val="20"/>
                <w:szCs w:val="20"/>
              </w:rPr>
              <w:t>Gestão;</w:t>
            </w:r>
          </w:p>
          <w:p w:rsidR="00A04A8C" w:rsidRPr="009F421F" w:rsidRDefault="00A04A8C" w:rsidP="00A04A8C">
            <w:pPr>
              <w:pStyle w:val="PargrafodaLista"/>
              <w:numPr>
                <w:ilvl w:val="0"/>
                <w:numId w:val="4"/>
              </w:numPr>
              <w:tabs>
                <w:tab w:val="left" w:pos="156"/>
                <w:tab w:val="left" w:pos="1276"/>
              </w:tabs>
              <w:ind w:left="0" w:firstLine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Aquisição de imóveis (pauta fixa).</w:t>
            </w:r>
          </w:p>
        </w:tc>
      </w:tr>
      <w:tr w:rsidR="005A6D90" w:rsidRPr="009F421F" w:rsidTr="00A926EF">
        <w:trPr>
          <w:trHeight w:val="412"/>
        </w:trPr>
        <w:tc>
          <w:tcPr>
            <w:tcW w:w="1999" w:type="dxa"/>
            <w:vAlign w:val="center"/>
          </w:tcPr>
          <w:p w:rsidR="005A6D90" w:rsidRPr="009F421F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9F421F" w:rsidRDefault="00A04A8C" w:rsidP="0092417F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5A6D90" w:rsidRPr="009F421F" w:rsidRDefault="005A6D90" w:rsidP="001727FD">
      <w:p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</w:p>
    <w:p w:rsidR="00B3385F" w:rsidRPr="009F421F" w:rsidRDefault="00FD2954" w:rsidP="00FB56F7">
      <w:pPr>
        <w:pStyle w:val="PargrafodaLista"/>
        <w:numPr>
          <w:ilvl w:val="0"/>
          <w:numId w:val="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A</w:t>
      </w:r>
      <w:r w:rsidR="0032454C" w:rsidRPr="009F421F">
        <w:rPr>
          <w:rFonts w:cstheme="minorHAnsi"/>
          <w:b/>
          <w:sz w:val="20"/>
          <w:szCs w:val="20"/>
        </w:rPr>
        <w:t>ssuntos Gerais |</w:t>
      </w:r>
      <w:r w:rsidR="00DC0A99" w:rsidRPr="009F421F">
        <w:rPr>
          <w:rFonts w:cstheme="minorHAnsi"/>
          <w:b/>
          <w:sz w:val="20"/>
          <w:szCs w:val="20"/>
        </w:rPr>
        <w:t xml:space="preserve"> </w:t>
      </w:r>
      <w:r w:rsidR="0032454C" w:rsidRPr="009F421F">
        <w:rPr>
          <w:rFonts w:cstheme="minorHAnsi"/>
          <w:b/>
          <w:sz w:val="20"/>
          <w:szCs w:val="20"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9F421F" w:rsidTr="009F421F">
        <w:trPr>
          <w:trHeight w:val="557"/>
        </w:trPr>
        <w:tc>
          <w:tcPr>
            <w:tcW w:w="1985" w:type="dxa"/>
            <w:vAlign w:val="center"/>
          </w:tcPr>
          <w:p w:rsidR="00B26BCA" w:rsidRPr="009F421F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Discussão:</w:t>
            </w:r>
          </w:p>
        </w:tc>
        <w:tc>
          <w:tcPr>
            <w:tcW w:w="7371" w:type="dxa"/>
            <w:vAlign w:val="center"/>
          </w:tcPr>
          <w:p w:rsidR="00FB56F7" w:rsidRPr="009F421F" w:rsidRDefault="00FB56F7" w:rsidP="00B170B2">
            <w:pPr>
              <w:pStyle w:val="PargrafodaLista"/>
              <w:ind w:left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7</w:t>
            </w:r>
            <w:r w:rsidR="00B170B2" w:rsidRPr="009F421F">
              <w:rPr>
                <w:rFonts w:cstheme="minorHAnsi"/>
                <w:b/>
                <w:sz w:val="20"/>
                <w:szCs w:val="20"/>
              </w:rPr>
              <w:t>.1 Relato do Encontro dos Gerentes – Fórum de Presidentes:</w:t>
            </w:r>
          </w:p>
          <w:p w:rsidR="00AD79F4" w:rsidRPr="009F421F" w:rsidRDefault="00B170B2" w:rsidP="00B170B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O</w:t>
            </w:r>
            <w:r w:rsidR="00A04A8C" w:rsidRPr="009F421F">
              <w:rPr>
                <w:rFonts w:cstheme="minorHAnsi"/>
                <w:sz w:val="20"/>
                <w:szCs w:val="20"/>
              </w:rPr>
              <w:t xml:space="preserve"> Gerente </w:t>
            </w:r>
            <w:r w:rsidRPr="009F421F">
              <w:rPr>
                <w:rFonts w:cstheme="minorHAnsi"/>
                <w:sz w:val="20"/>
                <w:szCs w:val="20"/>
              </w:rPr>
              <w:t>Tales fala que esteve em B</w:t>
            </w:r>
            <w:r w:rsidR="000F4C96" w:rsidRPr="009F421F">
              <w:rPr>
                <w:rFonts w:cstheme="minorHAnsi"/>
                <w:sz w:val="20"/>
                <w:szCs w:val="20"/>
              </w:rPr>
              <w:t>elo Horizonte</w:t>
            </w:r>
            <w:r w:rsidRPr="009F421F">
              <w:rPr>
                <w:rFonts w:cstheme="minorHAnsi"/>
                <w:sz w:val="20"/>
                <w:szCs w:val="20"/>
              </w:rPr>
              <w:t xml:space="preserve"> na última semana para participar do Encontro de Gerentes, dentro da programação do Fórum de Presidentes. Diz que trataram da flexibil</w:t>
            </w:r>
            <w:r w:rsidR="00C82FA9" w:rsidRPr="009F421F">
              <w:rPr>
                <w:rFonts w:cstheme="minorHAnsi"/>
                <w:sz w:val="20"/>
                <w:szCs w:val="20"/>
              </w:rPr>
              <w:t>ização dos limites estratégicos</w:t>
            </w:r>
            <w:r w:rsidR="00AD79F4" w:rsidRPr="009F421F">
              <w:rPr>
                <w:rFonts w:cstheme="minorHAnsi"/>
                <w:sz w:val="20"/>
                <w:szCs w:val="20"/>
              </w:rPr>
              <w:t xml:space="preserve">, fechando uma proposta que foi apresentada e acatada pelos Presidentes, de que os </w:t>
            </w:r>
            <w:proofErr w:type="spellStart"/>
            <w:r w:rsidR="00AD79F4" w:rsidRPr="009F421F">
              <w:rPr>
                <w:rFonts w:cstheme="minorHAnsi"/>
                <w:sz w:val="20"/>
                <w:szCs w:val="20"/>
              </w:rPr>
              <w:t>CAUs</w:t>
            </w:r>
            <w:proofErr w:type="spellEnd"/>
            <w:r w:rsidR="00AD79F4" w:rsidRPr="009F421F">
              <w:rPr>
                <w:rFonts w:cstheme="minorHAnsi"/>
                <w:sz w:val="20"/>
                <w:szCs w:val="20"/>
              </w:rPr>
              <w:t xml:space="preserve"> com até 5 milhões de arrecadação tenham seus limites estratégicos flexibilizados, enquanto que para os que possuem arrecadação acima deste valor os limites s</w:t>
            </w:r>
            <w:r w:rsidR="000F4C96" w:rsidRPr="009F421F">
              <w:rPr>
                <w:rFonts w:cstheme="minorHAnsi"/>
                <w:sz w:val="20"/>
                <w:szCs w:val="20"/>
              </w:rPr>
              <w:t>ejam</w:t>
            </w:r>
            <w:r w:rsidR="00AD79F4" w:rsidRPr="009F421F">
              <w:rPr>
                <w:rFonts w:cstheme="minorHAnsi"/>
                <w:sz w:val="20"/>
                <w:szCs w:val="20"/>
              </w:rPr>
              <w:t xml:space="preserve"> obrigatórios.</w:t>
            </w:r>
          </w:p>
          <w:p w:rsidR="00B170B2" w:rsidRPr="009F421F" w:rsidRDefault="00C82FA9" w:rsidP="00B170B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Informa que também foram pauta do Encontro os</w:t>
            </w:r>
            <w:r w:rsidR="00B170B2" w:rsidRPr="009F421F">
              <w:rPr>
                <w:rFonts w:cstheme="minorHAnsi"/>
                <w:sz w:val="20"/>
                <w:szCs w:val="20"/>
              </w:rPr>
              <w:t xml:space="preserve"> assuntos administrativos, operacionais</w:t>
            </w:r>
            <w:r w:rsidR="000F4C96" w:rsidRPr="009F421F">
              <w:rPr>
                <w:rFonts w:cstheme="minorHAnsi"/>
                <w:sz w:val="20"/>
                <w:szCs w:val="20"/>
              </w:rPr>
              <w:t xml:space="preserve"> e</w:t>
            </w:r>
            <w:r w:rsidR="00B170B2" w:rsidRPr="009F421F">
              <w:rPr>
                <w:rFonts w:cstheme="minorHAnsi"/>
                <w:sz w:val="20"/>
                <w:szCs w:val="20"/>
              </w:rPr>
              <w:t xml:space="preserve"> de gestão</w:t>
            </w:r>
            <w:r w:rsidR="000F4C96" w:rsidRPr="009F421F">
              <w:rPr>
                <w:rFonts w:cstheme="minorHAnsi"/>
                <w:sz w:val="20"/>
                <w:szCs w:val="20"/>
              </w:rPr>
              <w:t>, havendo uma transferência de conhecimento e de experiência</w:t>
            </w:r>
            <w:r w:rsidRPr="009F421F">
              <w:rPr>
                <w:rFonts w:cstheme="minorHAnsi"/>
                <w:sz w:val="20"/>
                <w:szCs w:val="20"/>
              </w:rPr>
              <w:t xml:space="preserve"> </w:t>
            </w:r>
            <w:r w:rsidR="00FB56F7" w:rsidRPr="009F421F">
              <w:rPr>
                <w:rFonts w:cstheme="minorHAnsi"/>
                <w:sz w:val="20"/>
                <w:szCs w:val="20"/>
              </w:rPr>
              <w:t>importante.</w:t>
            </w:r>
          </w:p>
          <w:p w:rsidR="00FB56F7" w:rsidRPr="009F421F" w:rsidRDefault="00FB56F7" w:rsidP="00B170B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FB56F7" w:rsidRPr="009F421F" w:rsidRDefault="00FB56F7" w:rsidP="00FB56F7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Apresentação Projeto PROCAU:</w:t>
            </w:r>
          </w:p>
          <w:p w:rsidR="00B170B2" w:rsidRPr="009F421F" w:rsidRDefault="00FB56F7" w:rsidP="00C82FA9">
            <w:pPr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O Gerente Tales apresenta o projeto PROCAU aos Conselheiros e explica as propostas do CAU/BR.</w:t>
            </w:r>
            <w:r w:rsidR="00C82FA9" w:rsidRPr="009F421F">
              <w:rPr>
                <w:rFonts w:cstheme="minorHAnsi"/>
                <w:sz w:val="20"/>
                <w:szCs w:val="20"/>
              </w:rPr>
              <w:t xml:space="preserve"> </w:t>
            </w:r>
            <w:r w:rsidR="00E65DAE" w:rsidRPr="009F421F">
              <w:rPr>
                <w:rFonts w:cstheme="minorHAnsi"/>
                <w:sz w:val="20"/>
                <w:szCs w:val="20"/>
              </w:rPr>
              <w:t xml:space="preserve">O Presidente ressalta que o CAU/RS </w:t>
            </w:r>
            <w:r w:rsidR="00C82FA9" w:rsidRPr="009F421F">
              <w:rPr>
                <w:rFonts w:cstheme="minorHAnsi"/>
                <w:sz w:val="20"/>
                <w:szCs w:val="20"/>
              </w:rPr>
              <w:t>adquirirá sede, seja no prédio atual ou um terreno para construção futura</w:t>
            </w:r>
            <w:r w:rsidR="00E65DAE" w:rsidRPr="009F421F">
              <w:rPr>
                <w:rFonts w:cstheme="minorHAnsi"/>
                <w:sz w:val="20"/>
                <w:szCs w:val="20"/>
              </w:rPr>
              <w:t>, a fim de utilizar o imobilizado antes de ser destinado ao PROCAU.</w:t>
            </w:r>
          </w:p>
          <w:p w:rsidR="00FB3B0A" w:rsidRPr="009F421F" w:rsidRDefault="00FB3B0A" w:rsidP="00B170B2">
            <w:pPr>
              <w:pStyle w:val="PargrafodaLista"/>
              <w:ind w:left="0"/>
              <w:jc w:val="both"/>
              <w:rPr>
                <w:rFonts w:cstheme="minorHAnsi"/>
                <w:sz w:val="20"/>
                <w:szCs w:val="20"/>
              </w:rPr>
            </w:pPr>
          </w:p>
          <w:p w:rsidR="00FB3B0A" w:rsidRPr="009F421F" w:rsidRDefault="00FB3B0A" w:rsidP="00FB3B0A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9F421F">
              <w:rPr>
                <w:rFonts w:cstheme="minorHAnsi"/>
                <w:b/>
                <w:sz w:val="20"/>
                <w:szCs w:val="20"/>
              </w:rPr>
              <w:t>II Conferência Nacional e Arquitetura e Urbanismo do CAU/BR:</w:t>
            </w:r>
          </w:p>
          <w:p w:rsidR="00820915" w:rsidRPr="009F421F" w:rsidRDefault="00FB3B0A" w:rsidP="00FB3B0A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O Coord. Rômulo informa que na última reunião do Conselho Diretor ficou estabelecido que participarão somente 02 (dois) membros/Comissão. Diz ainda que reforçará essa informação na Sessão Plenária do dia 22/09.</w:t>
            </w:r>
          </w:p>
          <w:p w:rsidR="00FB3B0A" w:rsidRPr="009F421F" w:rsidRDefault="00FB3B0A" w:rsidP="00FB3B0A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</w:p>
          <w:p w:rsidR="00FB3B0A" w:rsidRPr="009F421F" w:rsidRDefault="00FB3B0A" w:rsidP="00FB3B0A">
            <w:pPr>
              <w:tabs>
                <w:tab w:val="left" w:pos="582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havendo mais assuntos a serem tratados, a reunião é encerrada às 16h.</w:t>
            </w:r>
          </w:p>
        </w:tc>
      </w:tr>
      <w:tr w:rsidR="00B26BCA" w:rsidRPr="009F421F" w:rsidTr="00A400CE">
        <w:trPr>
          <w:trHeight w:val="554"/>
        </w:trPr>
        <w:tc>
          <w:tcPr>
            <w:tcW w:w="1985" w:type="dxa"/>
            <w:vAlign w:val="center"/>
          </w:tcPr>
          <w:p w:rsidR="00B26BCA" w:rsidRPr="009F421F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9F421F">
              <w:rPr>
                <w:rFonts w:cstheme="minorHAnsi"/>
                <w:i/>
                <w:sz w:val="20"/>
                <w:szCs w:val="20"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9F421F" w:rsidRDefault="001727FD" w:rsidP="00580D0A">
            <w:pPr>
              <w:jc w:val="both"/>
              <w:rPr>
                <w:rFonts w:cstheme="minorHAnsi"/>
                <w:sz w:val="20"/>
                <w:szCs w:val="20"/>
              </w:rPr>
            </w:pPr>
            <w:r w:rsidRPr="009F421F">
              <w:rPr>
                <w:rFonts w:cstheme="minorHAnsi"/>
                <w:sz w:val="20"/>
                <w:szCs w:val="20"/>
              </w:rPr>
              <w:t>Não há encaminhamentos.</w:t>
            </w:r>
          </w:p>
        </w:tc>
      </w:tr>
    </w:tbl>
    <w:p w:rsidR="003B3951" w:rsidRPr="009F421F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9F421F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9F421F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CB5504" w:rsidRPr="009F421F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6F3755" w:rsidRPr="009F421F" w:rsidRDefault="002E0A4B" w:rsidP="009E2492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>Rômulo Plentz Giralt</w:t>
      </w:r>
    </w:p>
    <w:p w:rsidR="00176844" w:rsidRPr="009F421F" w:rsidRDefault="00120632" w:rsidP="009E2492">
      <w:pPr>
        <w:suppressLineNumbers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F421F">
        <w:rPr>
          <w:rFonts w:cstheme="minorHAnsi"/>
          <w:b/>
          <w:sz w:val="20"/>
          <w:szCs w:val="20"/>
        </w:rPr>
        <w:t xml:space="preserve">Coordenador da Comissão </w:t>
      </w:r>
      <w:r w:rsidR="002E0A4B" w:rsidRPr="009F421F">
        <w:rPr>
          <w:rFonts w:cstheme="minorHAnsi"/>
          <w:b/>
          <w:sz w:val="20"/>
          <w:szCs w:val="20"/>
        </w:rPr>
        <w:t>de Planejamento e Finanças</w:t>
      </w:r>
    </w:p>
    <w:sectPr w:rsidR="00176844" w:rsidRPr="009F421F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BAB" w:rsidRDefault="00C95BAB" w:rsidP="001C5BED">
      <w:pPr>
        <w:spacing w:after="0" w:line="240" w:lineRule="auto"/>
      </w:pPr>
      <w:r>
        <w:separator/>
      </w:r>
    </w:p>
  </w:endnote>
  <w:endnote w:type="continuationSeparator" w:id="0">
    <w:p w:rsidR="00C95BAB" w:rsidRDefault="00C95BAB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21F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BAB" w:rsidRDefault="00C95BAB" w:rsidP="001C5BED">
      <w:pPr>
        <w:spacing w:after="0" w:line="240" w:lineRule="auto"/>
      </w:pPr>
      <w:r>
        <w:separator/>
      </w:r>
    </w:p>
  </w:footnote>
  <w:footnote w:type="continuationSeparator" w:id="0">
    <w:p w:rsidR="00C95BAB" w:rsidRDefault="00C95BAB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2D7680D"/>
    <w:multiLevelType w:val="hybridMultilevel"/>
    <w:tmpl w:val="7EFAD754"/>
    <w:lvl w:ilvl="0" w:tplc="831AFE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0C78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081"/>
    <w:rsid w:val="0009198E"/>
    <w:rsid w:val="00092E2A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C96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51085"/>
    <w:rsid w:val="00151103"/>
    <w:rsid w:val="00151694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D7AF8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2081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1594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1BE6"/>
    <w:rsid w:val="00372491"/>
    <w:rsid w:val="00372C25"/>
    <w:rsid w:val="00372E89"/>
    <w:rsid w:val="00373066"/>
    <w:rsid w:val="00374792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87D9F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15A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28A"/>
    <w:rsid w:val="00734E05"/>
    <w:rsid w:val="00735047"/>
    <w:rsid w:val="007363ED"/>
    <w:rsid w:val="007364B0"/>
    <w:rsid w:val="007369EB"/>
    <w:rsid w:val="007404AE"/>
    <w:rsid w:val="0074178D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0EF9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2D46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1B54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37FD"/>
    <w:rsid w:val="009B51BF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0EC1"/>
    <w:rsid w:val="009F1195"/>
    <w:rsid w:val="009F1655"/>
    <w:rsid w:val="009F421F"/>
    <w:rsid w:val="009F636D"/>
    <w:rsid w:val="009F6B66"/>
    <w:rsid w:val="009F768F"/>
    <w:rsid w:val="009F7B4B"/>
    <w:rsid w:val="00A04860"/>
    <w:rsid w:val="00A04A8C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5D3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9F4"/>
    <w:rsid w:val="00AD7BD9"/>
    <w:rsid w:val="00AE0CA3"/>
    <w:rsid w:val="00AE0D03"/>
    <w:rsid w:val="00AE1141"/>
    <w:rsid w:val="00AE22ED"/>
    <w:rsid w:val="00AE51CC"/>
    <w:rsid w:val="00AE6B79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497"/>
    <w:rsid w:val="00AF4C2A"/>
    <w:rsid w:val="00AF4DAC"/>
    <w:rsid w:val="00AF534C"/>
    <w:rsid w:val="00AF5B38"/>
    <w:rsid w:val="00AF6319"/>
    <w:rsid w:val="00AF6EBC"/>
    <w:rsid w:val="00AF6FE7"/>
    <w:rsid w:val="00AF7293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29C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64FA0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2FA9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BAB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4E21"/>
    <w:rsid w:val="00CF39A4"/>
    <w:rsid w:val="00D01840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854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57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2A1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5DAE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30F0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5F62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3B0A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859"/>
    <w:rsid w:val="00FE0F74"/>
    <w:rsid w:val="00FE1AAD"/>
    <w:rsid w:val="00FE262E"/>
    <w:rsid w:val="00FE2CC0"/>
    <w:rsid w:val="00FE2D04"/>
    <w:rsid w:val="00FE3E84"/>
    <w:rsid w:val="00FE44F0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1AE00-580C-4F68-A47F-30ED2D1BB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1036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10</cp:revision>
  <cp:lastPrinted>2017-08-17T14:01:00Z</cp:lastPrinted>
  <dcterms:created xsi:type="dcterms:W3CDTF">2017-09-25T13:15:00Z</dcterms:created>
  <dcterms:modified xsi:type="dcterms:W3CDTF">2017-09-25T20:22:00Z</dcterms:modified>
</cp:coreProperties>
</file>