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C94738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C94738" w:rsidRDefault="00EA4EEB" w:rsidP="001139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r w:rsidRPr="00C9473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11398F" w:rsidRPr="00C9473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C5A61" w:rsidRPr="00C94738">
              <w:rPr>
                <w:rFonts w:ascii="Times New Roman" w:hAnsi="Times New Roman" w:cs="Times New Roman"/>
                <w:b/>
                <w:sz w:val="18"/>
                <w:szCs w:val="18"/>
              </w:rPr>
              <w:t>ª</w:t>
            </w:r>
            <w:r w:rsidR="00020BC5" w:rsidRPr="00C947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REUNIÃO </w:t>
            </w:r>
            <w:r w:rsidR="0037771C" w:rsidRPr="00C947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EXTRAORDINÁRIA </w:t>
            </w:r>
            <w:r w:rsidR="00020BC5" w:rsidRPr="00C94738">
              <w:rPr>
                <w:rFonts w:ascii="Times New Roman" w:hAnsi="Times New Roman" w:cs="Times New Roman"/>
                <w:b/>
                <w:sz w:val="18"/>
                <w:szCs w:val="18"/>
              </w:rPr>
              <w:t>DA COMISSÃO DE EXERCÍCIO PROFISSIONAL</w:t>
            </w:r>
            <w:r w:rsidR="009E47A2" w:rsidRPr="00C947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SÚMULA</w:t>
            </w:r>
          </w:p>
        </w:tc>
      </w:tr>
      <w:tr w:rsidR="009E47A2" w:rsidRPr="00C94738" w:rsidTr="007B3C0B">
        <w:tc>
          <w:tcPr>
            <w:tcW w:w="4797" w:type="dxa"/>
            <w:gridSpan w:val="3"/>
            <w:vAlign w:val="center"/>
          </w:tcPr>
          <w:p w:rsidR="009E47A2" w:rsidRPr="00C94738" w:rsidRDefault="009E47A2" w:rsidP="00EA4EEB">
            <w:pPr>
              <w:spacing w:line="276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b/>
                <w:sz w:val="18"/>
                <w:szCs w:val="18"/>
              </w:rPr>
              <w:t>LOCAL:</w:t>
            </w: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6845" w:rsidRPr="00C94738">
              <w:rPr>
                <w:rFonts w:ascii="Times New Roman" w:hAnsi="Times New Roman" w:cs="Times New Roman"/>
                <w:sz w:val="18"/>
                <w:szCs w:val="18"/>
              </w:rPr>
              <w:t>Sede do CAU/RS – sala de reuniões do 1</w:t>
            </w:r>
            <w:r w:rsidR="00EA4EEB" w:rsidRPr="00C947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A6845" w:rsidRPr="00C94738">
              <w:rPr>
                <w:rFonts w:ascii="Times New Roman" w:hAnsi="Times New Roman" w:cs="Times New Roman"/>
                <w:sz w:val="18"/>
                <w:szCs w:val="18"/>
              </w:rPr>
              <w:t xml:space="preserve">º </w:t>
            </w:r>
            <w:proofErr w:type="gramStart"/>
            <w:r w:rsidR="001A6845" w:rsidRPr="00C94738">
              <w:rPr>
                <w:rFonts w:ascii="Times New Roman" w:hAnsi="Times New Roman" w:cs="Times New Roman"/>
                <w:sz w:val="18"/>
                <w:szCs w:val="18"/>
              </w:rPr>
              <w:t>andar</w:t>
            </w:r>
            <w:proofErr w:type="gramEnd"/>
            <w:r w:rsidR="001A6845" w:rsidRPr="00C9473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:rsidR="009E47A2" w:rsidRPr="00C94738" w:rsidRDefault="009E47A2" w:rsidP="0066688F">
            <w:pPr>
              <w:tabs>
                <w:tab w:val="left" w:pos="240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b/>
                <w:sz w:val="18"/>
                <w:szCs w:val="18"/>
              </w:rPr>
              <w:t>Data:</w:t>
            </w: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4EEB" w:rsidRPr="00C9473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9438C4" w:rsidRPr="00C94738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="00EA4EEB" w:rsidRPr="00C947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>/201</w:t>
            </w:r>
            <w:r w:rsidR="00EA4EEB" w:rsidRPr="00C947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9E47A2" w:rsidRPr="00C94738" w:rsidRDefault="009E47A2" w:rsidP="00581FFC">
            <w:pPr>
              <w:tabs>
                <w:tab w:val="left" w:pos="57"/>
              </w:tabs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b/>
                <w:sz w:val="18"/>
                <w:szCs w:val="18"/>
              </w:rPr>
              <w:t>Hora início:</w:t>
            </w:r>
            <w:r w:rsidR="009438C4" w:rsidRPr="00C947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6845" w:rsidRPr="00C947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398F" w:rsidRPr="00C9473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A4EEB" w:rsidRPr="00C94738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  <w:p w:rsidR="009E47A2" w:rsidRPr="00C94738" w:rsidRDefault="009E47A2" w:rsidP="0011398F">
            <w:pPr>
              <w:tabs>
                <w:tab w:val="left" w:pos="2400"/>
              </w:tabs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Hora término: </w:t>
            </w:r>
            <w:r w:rsidR="009438C4" w:rsidRPr="00C947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398F" w:rsidRPr="00C947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A4EEB" w:rsidRPr="00C94738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</w:tr>
      <w:tr w:rsidR="009E47A2" w:rsidRPr="00C94738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C94738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b/>
                <w:sz w:val="18"/>
                <w:szCs w:val="18"/>
              </w:rPr>
              <w:t>PRESENTES:</w:t>
            </w: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E47A2" w:rsidRPr="00C94738" w:rsidRDefault="00D54381" w:rsidP="00C74A81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682272" w:rsidRPr="00C94738">
              <w:rPr>
                <w:rFonts w:ascii="Times New Roman" w:hAnsi="Times New Roman" w:cs="Times New Roman"/>
                <w:sz w:val="18"/>
                <w:szCs w:val="18"/>
              </w:rPr>
              <w:t>oordenador da Comissão Carlos Eduardo Mesquita Pedone, Conselheiras Rosana Oppitz e Sílvia Monteiro Barakat e Conselheiro Oritz Adriano Adams de Campos</w:t>
            </w:r>
            <w:r w:rsidR="00C74A81" w:rsidRPr="00C94738">
              <w:rPr>
                <w:rFonts w:ascii="Times New Roman" w:hAnsi="Times New Roman" w:cs="Times New Roman"/>
                <w:sz w:val="18"/>
                <w:szCs w:val="18"/>
              </w:rPr>
              <w:t xml:space="preserve">, o Coordenador da Assessoria Jurídica Alexandre Noal e </w:t>
            </w:r>
            <w:r w:rsidR="00EA4EEB" w:rsidRPr="00C94738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682272" w:rsidRPr="00C947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850AB" w:rsidRPr="00C94738">
              <w:rPr>
                <w:rFonts w:ascii="Times New Roman" w:hAnsi="Times New Roman" w:cs="Times New Roman"/>
                <w:sz w:val="18"/>
                <w:szCs w:val="18"/>
              </w:rPr>
              <w:t xml:space="preserve">Gerente Técnica </w:t>
            </w:r>
            <w:r w:rsidR="00682272" w:rsidRPr="00C94738">
              <w:rPr>
                <w:rFonts w:ascii="Times New Roman" w:hAnsi="Times New Roman" w:cs="Times New Roman"/>
                <w:sz w:val="18"/>
                <w:szCs w:val="18"/>
              </w:rPr>
              <w:t xml:space="preserve">Maríndia </w:t>
            </w:r>
            <w:proofErr w:type="spellStart"/>
            <w:r w:rsidR="00682272" w:rsidRPr="00C94738">
              <w:rPr>
                <w:rFonts w:ascii="Times New Roman" w:hAnsi="Times New Roman" w:cs="Times New Roman"/>
                <w:sz w:val="18"/>
                <w:szCs w:val="18"/>
              </w:rPr>
              <w:t>Girardello</w:t>
            </w:r>
            <w:proofErr w:type="spellEnd"/>
            <w:r w:rsidR="00EA4EEB" w:rsidRPr="00C9473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E47A2" w:rsidRPr="00C94738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C94738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b/>
                <w:sz w:val="18"/>
                <w:szCs w:val="18"/>
              </w:rPr>
              <w:t>PAUTA</w:t>
            </w:r>
          </w:p>
        </w:tc>
      </w:tr>
      <w:tr w:rsidR="009E47A2" w:rsidRPr="00C94738" w:rsidTr="009E47A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C94738" w:rsidRDefault="00986B76" w:rsidP="00986B76">
            <w:pPr>
              <w:pStyle w:val="PargrafodaLista"/>
              <w:numPr>
                <w:ilvl w:val="0"/>
                <w:numId w:val="1"/>
              </w:numPr>
              <w:ind w:left="317" w:right="-1" w:hanging="28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Relato de processos </w:t>
            </w:r>
            <w:r w:rsidR="00DD651E" w:rsidRPr="00C94738">
              <w:rPr>
                <w:rFonts w:ascii="Times New Roman" w:hAnsi="Times New Roman" w:cs="Times New Roman"/>
                <w:b/>
                <w:sz w:val="18"/>
                <w:szCs w:val="18"/>
              </w:rPr>
              <w:t>de Registro de Direito Autoral</w:t>
            </w:r>
          </w:p>
        </w:tc>
      </w:tr>
      <w:tr w:rsidR="009E47A2" w:rsidRPr="00C94738" w:rsidTr="00C91FA8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CA3384" w:rsidRPr="00C94738" w:rsidRDefault="0036134C" w:rsidP="00D47A3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47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Foi repassado pelo assessor jurídico o marco legal referente a esse expediente: Lei nº 9.610, de 19 de fevereiro de 1988 (do Direito Autoral) que determina que “os projetos, esboços e obras plásticas concernentes à arquitetura e paisagismo são obras intelectuais protegidas”; Art. 17 da Lei 5.988, de 14 de dezembro de 1973, que trata do registro das obras intelectuais e diz que: “Para segurança de seus direitos, o autor da obra intelectual poderá registrá-la, conforme sua natureza, na Biblioteca Nacional, na Escola de Música, na Escola de Belas Artes da Universidade Federal d</w:t>
            </w:r>
            <w:r w:rsidR="00E610F3" w:rsidRPr="00C947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 Rio de Janeiro, no Instituto N</w:t>
            </w:r>
            <w:r w:rsidRPr="00C947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acional do Cinema, ou no conselho Federal de Engenharia, Arquitetura e Agronomia. § 1º. Se a obra for de natureza que comporte registro em mais de um desses órgãos, deverá ser registrada naquele com que tiver maior afinidade”; Resolução CAU/BR nº 67, de </w:t>
            </w:r>
            <w:r w:rsidR="00A4716D" w:rsidRPr="00C947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C947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de dezembro de</w:t>
            </w:r>
            <w:r w:rsidR="00A4716D" w:rsidRPr="00C947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947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2013, que dispõe sobre os Direitos Autorais na Arquitetura e Urbanismo, </w:t>
            </w:r>
            <w:proofErr w:type="gramStart"/>
            <w:r w:rsidRPr="00C947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estabelece</w:t>
            </w:r>
            <w:proofErr w:type="gramEnd"/>
            <w:r w:rsidRPr="00C947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normas e condições para o registro de obras intelectuais no CAU e dá outras providências. </w:t>
            </w:r>
          </w:p>
          <w:p w:rsidR="00CA3384" w:rsidRPr="00C94738" w:rsidRDefault="00CA3384" w:rsidP="00D47A3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47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 conselheiros examinaram os processos físicos que estão aguardando análise. A Gerente Técnica apresentou à Comissão o módulo RDA no SICCAU, sendo revisados todos os requerimentos e dado encaminhamento a todos eles, conforme as seguintes linhas gerais:</w:t>
            </w:r>
          </w:p>
          <w:p w:rsidR="00AB437D" w:rsidRPr="00C94738" w:rsidRDefault="00CA3384" w:rsidP="00D47A3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47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Requerimentos não pagos: informar ao interessado que não serão analisados enquanto não for feito o pagamento. O assessor jurídico minutará ofício.</w:t>
            </w:r>
          </w:p>
          <w:p w:rsidR="00AB437D" w:rsidRPr="00C94738" w:rsidRDefault="00A4716D" w:rsidP="00D47A3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47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Requerimentos pagos: A Gerência T</w:t>
            </w:r>
            <w:r w:rsidR="00AB437D" w:rsidRPr="00C947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écnica verificará a documentação e fará a aprovação dos mesmos conforme exige o SICCAU para que possa ser analisado o processo.  Após trará o processo físico à CEP para análise.</w:t>
            </w:r>
          </w:p>
          <w:p w:rsidR="00C74A81" w:rsidRPr="00C94738" w:rsidRDefault="00AB437D" w:rsidP="00D47A3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47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 verificação da documentação será feita conforme definido na Deliberação nº 96/2015 da CEP, </w:t>
            </w:r>
            <w:r w:rsidR="00DD651E" w:rsidRPr="00C947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que dispõe sobre os documentos indispensáveis para análise dos processos administrativos em que se requer o registro de direito autoral. </w:t>
            </w:r>
            <w:r w:rsidRPr="00C947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Por orientação do Assessor Jurídico, a citada Deliberação será novamente colocada para aprovação do Plenário.  Deve ser reeditada, incluindo no item “c” que será aceito também o projeto em original em papel, e no item “f” a apresentação de contrato de locação, se for o caso. </w:t>
            </w:r>
            <w:r w:rsidR="00DD651E" w:rsidRPr="00C947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 Coordenador levará </w:t>
            </w:r>
            <w:r w:rsidRPr="00C947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 Deliberação </w:t>
            </w:r>
            <w:r w:rsidR="00DD651E" w:rsidRPr="00C947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 próxima reunião do Conselho Diretor e solicitará análise das demais Comissões. Será também informado na próxima plenária um relatório dos requerimentos de RDA</w:t>
            </w:r>
            <w:r w:rsidRPr="00C947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que constam no SICCAU para o CAU/RS</w:t>
            </w:r>
            <w:r w:rsidR="00DD651E" w:rsidRPr="00C947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2850AB" w:rsidRPr="00C94738" w:rsidTr="00436E56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C94738" w:rsidRDefault="002850AB" w:rsidP="00D47A3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b/>
                <w:sz w:val="18"/>
                <w:szCs w:val="18"/>
              </w:rPr>
              <w:t>Providências/Encaminhamentos</w:t>
            </w:r>
          </w:p>
        </w:tc>
      </w:tr>
      <w:tr w:rsidR="002850AB" w:rsidRPr="00C94738" w:rsidTr="00436E56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C94738" w:rsidRDefault="002850AB" w:rsidP="00D47A3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b/>
                <w:sz w:val="18"/>
                <w:szCs w:val="18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C94738" w:rsidRDefault="002850AB" w:rsidP="00D47A3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b/>
                <w:sz w:val="18"/>
                <w:szCs w:val="18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C94738" w:rsidRDefault="002850AB" w:rsidP="00D47A3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b/>
                <w:sz w:val="18"/>
                <w:szCs w:val="18"/>
              </w:rPr>
              <w:t>Responsável</w:t>
            </w:r>
          </w:p>
        </w:tc>
      </w:tr>
      <w:tr w:rsidR="004F12E0" w:rsidRPr="00C94738" w:rsidTr="0072023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E0" w:rsidRPr="00C94738" w:rsidRDefault="008628CF" w:rsidP="00D47A3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E0" w:rsidRPr="00C94738" w:rsidRDefault="008F0B78" w:rsidP="00D47A3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>Elaborar minuta de ofício para responder aos requerentes que não pagaram a taxa.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E0" w:rsidRPr="00C94738" w:rsidRDefault="008628CF" w:rsidP="00D47A3C">
            <w:pPr>
              <w:spacing w:line="276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>Alexandre Noal</w:t>
            </w:r>
          </w:p>
        </w:tc>
      </w:tr>
      <w:tr w:rsidR="00720233" w:rsidRPr="00C94738" w:rsidTr="0072023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33" w:rsidRPr="00C94738" w:rsidRDefault="008F0B78" w:rsidP="00D47A3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33" w:rsidRPr="00C94738" w:rsidRDefault="008F0B78" w:rsidP="00D47A3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>Analisar a documentação constante nos protocolos conforme Deliberação 96 ou a versão reeditada.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33" w:rsidRPr="00C94738" w:rsidRDefault="008F0B78" w:rsidP="00D47A3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 xml:space="preserve">Maríndia </w:t>
            </w:r>
            <w:proofErr w:type="spellStart"/>
            <w:r w:rsidRPr="00C94738">
              <w:rPr>
                <w:rFonts w:ascii="Times New Roman" w:hAnsi="Times New Roman" w:cs="Times New Roman"/>
                <w:sz w:val="18"/>
                <w:szCs w:val="18"/>
              </w:rPr>
              <w:t>Girardello</w:t>
            </w:r>
            <w:proofErr w:type="spellEnd"/>
          </w:p>
        </w:tc>
      </w:tr>
      <w:tr w:rsidR="008F0B78" w:rsidRPr="00C94738" w:rsidTr="0072023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78" w:rsidRPr="00C94738" w:rsidRDefault="008F0B78" w:rsidP="00D47A3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78" w:rsidRPr="00C94738" w:rsidRDefault="008F0B78" w:rsidP="00D47A3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 xml:space="preserve">Apresentar a Deliberação no Conselho Diretor para que seja </w:t>
            </w:r>
            <w:proofErr w:type="gramStart"/>
            <w:r w:rsidRPr="00C94738">
              <w:rPr>
                <w:rFonts w:ascii="Times New Roman" w:hAnsi="Times New Roman" w:cs="Times New Roman"/>
                <w:sz w:val="18"/>
                <w:szCs w:val="18"/>
              </w:rPr>
              <w:t xml:space="preserve">analisada pelas demais </w:t>
            </w:r>
            <w:r w:rsidR="00A4716D" w:rsidRPr="00C94738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>omissões</w:t>
            </w:r>
            <w:proofErr w:type="gramEnd"/>
            <w:r w:rsidRPr="00C94738">
              <w:rPr>
                <w:rFonts w:ascii="Times New Roman" w:hAnsi="Times New Roman" w:cs="Times New Roman"/>
                <w:sz w:val="18"/>
                <w:szCs w:val="18"/>
              </w:rPr>
              <w:t xml:space="preserve"> e levada novamente à aprovação do Plenário</w:t>
            </w:r>
            <w:r w:rsidR="00E610F3" w:rsidRPr="00C9473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78" w:rsidRPr="00C94738" w:rsidRDefault="00A4716D" w:rsidP="00D47A3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>Coord. Carlos Pedone</w:t>
            </w:r>
          </w:p>
        </w:tc>
      </w:tr>
      <w:tr w:rsidR="00555B66" w:rsidRPr="00C94738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B66" w:rsidRPr="00C94738" w:rsidRDefault="00555B66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b/>
                <w:sz w:val="18"/>
                <w:szCs w:val="18"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B66" w:rsidRPr="00C94738" w:rsidRDefault="00555B66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b/>
                <w:sz w:val="18"/>
                <w:szCs w:val="18"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B66" w:rsidRPr="00C94738" w:rsidRDefault="00555B66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b/>
                <w:sz w:val="18"/>
                <w:szCs w:val="18"/>
              </w:rPr>
              <w:t>ASSINATURA</w:t>
            </w:r>
          </w:p>
        </w:tc>
      </w:tr>
      <w:tr w:rsidR="00555B66" w:rsidRPr="00C94738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C94738" w:rsidRDefault="00555B66" w:rsidP="00D47A3C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C94738" w:rsidRDefault="00555B66" w:rsidP="00D47A3C">
            <w:pPr>
              <w:spacing w:line="276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C94738" w:rsidRDefault="00555B66" w:rsidP="00D47A3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55B66" w:rsidRPr="00C94738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C94738" w:rsidRDefault="00555B66" w:rsidP="00D47A3C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C94738" w:rsidRDefault="00555B66" w:rsidP="00D47A3C">
            <w:pPr>
              <w:spacing w:line="276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C94738" w:rsidRDefault="00555B66" w:rsidP="00D47A3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3C4C" w:rsidRPr="00C94738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C4C" w:rsidRPr="00C94738" w:rsidRDefault="00F63C4C" w:rsidP="00D47A3C">
            <w:pPr>
              <w:ind w:left="176"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 xml:space="preserve">Roberto Luiz </w:t>
            </w:r>
            <w:proofErr w:type="spellStart"/>
            <w:r w:rsidRPr="00C94738">
              <w:rPr>
                <w:rFonts w:ascii="Times New Roman" w:hAnsi="Times New Roman" w:cs="Times New Roman"/>
                <w:sz w:val="18"/>
                <w:szCs w:val="18"/>
              </w:rPr>
              <w:t>Decó</w:t>
            </w:r>
            <w:proofErr w:type="spellEnd"/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C4C" w:rsidRPr="00C94738" w:rsidRDefault="00F63C4C" w:rsidP="00D47A3C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C4C" w:rsidRPr="00C94738" w:rsidRDefault="00F63C4C" w:rsidP="00D47A3C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55B66" w:rsidRPr="00C94738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C94738" w:rsidRDefault="00555B66" w:rsidP="00D47A3C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C94738" w:rsidRDefault="00555B66" w:rsidP="00D47A3C">
            <w:pPr>
              <w:spacing w:line="276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C94738" w:rsidRDefault="00555B66" w:rsidP="00D47A3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55B66" w:rsidRPr="00C94738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C94738" w:rsidRDefault="00555B66" w:rsidP="00D47A3C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C94738" w:rsidRDefault="00555B66" w:rsidP="00D47A3C">
            <w:pPr>
              <w:spacing w:line="276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94738">
              <w:rPr>
                <w:rFonts w:ascii="Times New Roman" w:hAnsi="Times New Roman" w:cs="Times New Roman"/>
                <w:sz w:val="18"/>
                <w:szCs w:val="18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C94738" w:rsidRDefault="00555B66" w:rsidP="00D47A3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bookmarkEnd w:id="0"/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F45F2A">
      <w:headerReference w:type="default" r:id="rId9"/>
      <w:footerReference w:type="default" r:id="rId10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A3C" w:rsidRDefault="00D47A3C" w:rsidP="00A021E7">
      <w:pPr>
        <w:spacing w:after="0" w:line="240" w:lineRule="auto"/>
      </w:pPr>
      <w:r>
        <w:separator/>
      </w:r>
    </w:p>
  </w:endnote>
  <w:endnote w:type="continuationSeparator" w:id="0">
    <w:p w:rsidR="00D47A3C" w:rsidRDefault="00D47A3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D47A3C" w:rsidRPr="005E4F36" w:rsidRDefault="00D47A3C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C94738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D47A3C" w:rsidRPr="005E4F36" w:rsidRDefault="00D47A3C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A3C" w:rsidRDefault="00D47A3C" w:rsidP="00A021E7">
      <w:pPr>
        <w:spacing w:after="0" w:line="240" w:lineRule="auto"/>
      </w:pPr>
      <w:r>
        <w:separator/>
      </w:r>
    </w:p>
  </w:footnote>
  <w:footnote w:type="continuationSeparator" w:id="0">
    <w:p w:rsidR="00D47A3C" w:rsidRDefault="00D47A3C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A3C" w:rsidRDefault="00D47A3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AB8D2E" wp14:editId="2E5416F2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21"/>
  </w:num>
  <w:num w:numId="5">
    <w:abstractNumId w:val="14"/>
  </w:num>
  <w:num w:numId="6">
    <w:abstractNumId w:val="17"/>
  </w:num>
  <w:num w:numId="7">
    <w:abstractNumId w:val="6"/>
  </w:num>
  <w:num w:numId="8">
    <w:abstractNumId w:val="12"/>
  </w:num>
  <w:num w:numId="9">
    <w:abstractNumId w:val="13"/>
  </w:num>
  <w:num w:numId="10">
    <w:abstractNumId w:val="11"/>
  </w:num>
  <w:num w:numId="11">
    <w:abstractNumId w:val="9"/>
  </w:num>
  <w:num w:numId="12">
    <w:abstractNumId w:val="8"/>
  </w:num>
  <w:num w:numId="13">
    <w:abstractNumId w:val="15"/>
  </w:num>
  <w:num w:numId="14">
    <w:abstractNumId w:val="20"/>
  </w:num>
  <w:num w:numId="15">
    <w:abstractNumId w:val="18"/>
  </w:num>
  <w:num w:numId="16">
    <w:abstractNumId w:val="19"/>
  </w:num>
  <w:num w:numId="17">
    <w:abstractNumId w:val="5"/>
  </w:num>
  <w:num w:numId="18">
    <w:abstractNumId w:val="2"/>
  </w:num>
  <w:num w:numId="19">
    <w:abstractNumId w:val="3"/>
  </w:num>
  <w:num w:numId="20">
    <w:abstractNumId w:val="7"/>
  </w:num>
  <w:num w:numId="21">
    <w:abstractNumId w:val="10"/>
  </w:num>
  <w:num w:numId="2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263F"/>
    <w:rsid w:val="000A2873"/>
    <w:rsid w:val="000A2FCB"/>
    <w:rsid w:val="000A3180"/>
    <w:rsid w:val="000A325C"/>
    <w:rsid w:val="000A4488"/>
    <w:rsid w:val="000A492B"/>
    <w:rsid w:val="000A4CBB"/>
    <w:rsid w:val="000A508A"/>
    <w:rsid w:val="000A587F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1331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5F0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2E0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357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5E1"/>
    <w:rsid w:val="00581DEA"/>
    <w:rsid w:val="00581FFC"/>
    <w:rsid w:val="0058215D"/>
    <w:rsid w:val="00582C48"/>
    <w:rsid w:val="00582F5C"/>
    <w:rsid w:val="00583103"/>
    <w:rsid w:val="0058440C"/>
    <w:rsid w:val="00584EDF"/>
    <w:rsid w:val="00584FB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C35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1737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416F"/>
    <w:rsid w:val="005F4402"/>
    <w:rsid w:val="005F467B"/>
    <w:rsid w:val="005F53A2"/>
    <w:rsid w:val="005F545C"/>
    <w:rsid w:val="005F59B7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30E0"/>
    <w:rsid w:val="00683D1B"/>
    <w:rsid w:val="00683E4C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48F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B0110"/>
    <w:rsid w:val="007B0326"/>
    <w:rsid w:val="007B0D49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A42"/>
    <w:rsid w:val="007B6A45"/>
    <w:rsid w:val="007B7DC3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EBA"/>
    <w:rsid w:val="007F4756"/>
    <w:rsid w:val="007F4B9A"/>
    <w:rsid w:val="007F4DC7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4DAE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5A5"/>
    <w:rsid w:val="00A97BB7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5502"/>
    <w:rsid w:val="00C85C93"/>
    <w:rsid w:val="00C85D78"/>
    <w:rsid w:val="00C86A27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4AD"/>
    <w:rsid w:val="00C95690"/>
    <w:rsid w:val="00C95C21"/>
    <w:rsid w:val="00C96060"/>
    <w:rsid w:val="00C961E1"/>
    <w:rsid w:val="00C966DC"/>
    <w:rsid w:val="00C97E8E"/>
    <w:rsid w:val="00CA0206"/>
    <w:rsid w:val="00CA06B9"/>
    <w:rsid w:val="00CA203B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95B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2131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C1B"/>
    <w:rsid w:val="00F75FBC"/>
    <w:rsid w:val="00F76556"/>
    <w:rsid w:val="00F77657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30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0D471-0A4C-4D0B-8F7E-FC817E6D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1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101</cp:revision>
  <cp:lastPrinted>2016-02-25T13:50:00Z</cp:lastPrinted>
  <dcterms:created xsi:type="dcterms:W3CDTF">2015-04-07T13:33:00Z</dcterms:created>
  <dcterms:modified xsi:type="dcterms:W3CDTF">2016-02-25T13:50:00Z</dcterms:modified>
</cp:coreProperties>
</file>