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044633">
            <w:pPr>
              <w:spacing w:line="276" w:lineRule="auto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B15481" w:rsidRPr="00354F38">
              <w:rPr>
                <w:rFonts w:cs="Arial"/>
                <w:b/>
              </w:rPr>
              <w:t>9</w:t>
            </w:r>
            <w:r w:rsidR="00044633" w:rsidRPr="00354F38">
              <w:rPr>
                <w:rFonts w:cs="Arial"/>
                <w:b/>
              </w:rPr>
              <w:t>6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044633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>Sala de Reuniões do 1</w:t>
            </w:r>
            <w:r w:rsidR="00044633">
              <w:rPr>
                <w:rFonts w:cs="Arial"/>
              </w:rPr>
              <w:t>4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044633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6A67A9">
              <w:rPr>
                <w:rFonts w:cs="Arial"/>
              </w:rPr>
              <w:t>1</w:t>
            </w:r>
            <w:r w:rsidR="00044633">
              <w:rPr>
                <w:rFonts w:cs="Arial"/>
              </w:rPr>
              <w:t>8</w:t>
            </w:r>
            <w:r w:rsidR="00704299">
              <w:rPr>
                <w:rFonts w:cs="Arial"/>
              </w:rPr>
              <w:t>/09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044633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Clarissa Monteiro Berny, Rosana Oppitz e</w:t>
            </w:r>
            <w:r w:rsidR="00461B88">
              <w:rPr>
                <w:rFonts w:cs="Arial"/>
              </w:rPr>
              <w:t xml:space="preserve"> </w:t>
            </w:r>
            <w:r w:rsidR="007C7023">
              <w:rPr>
                <w:rFonts w:cs="Arial"/>
              </w:rPr>
              <w:t>Maria Bernadete Sinhorelli</w:t>
            </w:r>
            <w:r w:rsidR="00477CB4">
              <w:rPr>
                <w:rFonts w:cs="Arial"/>
              </w:rPr>
              <w:t xml:space="preserve"> de Oliveira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461B8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57361E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F14DED" w:rsidP="00EB76F3">
            <w:pPr>
              <w:spacing w:line="276" w:lineRule="auto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As súmulas serão aprovadas em reunião posterior.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A33E38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14DED" w:rsidP="00F14DED">
            <w:pPr>
              <w:rPr>
                <w:rFonts w:cs="Arial"/>
              </w:rPr>
            </w:pPr>
            <w:r w:rsidRPr="001B3546">
              <w:rPr>
                <w:rFonts w:cs="Arial"/>
              </w:rPr>
              <w:t>Providenciar</w:t>
            </w:r>
            <w:r w:rsidR="005465C1" w:rsidRPr="001B3546">
              <w:rPr>
                <w:rFonts w:cs="Arial"/>
              </w:rPr>
              <w:t xml:space="preserve"> a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>úmula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Pr="001B3546">
              <w:rPr>
                <w:rFonts w:cs="Arial"/>
              </w:rPr>
              <w:t>para aprovação e assinatura.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16A13" w:rsidRPr="0093405F" w:rsidRDefault="00916A13" w:rsidP="00C740CD">
            <w:pPr>
              <w:shd w:val="clear" w:color="auto" w:fill="FFFFFF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916A13" w:rsidRDefault="00916A13" w:rsidP="00C74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1"/>
              </w:tabs>
              <w:rPr>
                <w:rFonts w:ascii="Calibri" w:eastAsia="Times New Roman" w:hAnsi="Calibri"/>
                <w:b/>
                <w:color w:val="000000"/>
              </w:rPr>
            </w:pPr>
            <w:r w:rsidRPr="00B8612E">
              <w:rPr>
                <w:rFonts w:ascii="Calibri" w:eastAsia="Times New Roman" w:hAnsi="Calibri"/>
                <w:b/>
                <w:color w:val="000000"/>
              </w:rPr>
              <w:t>2.1.1 Arquivamento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de Processos</w:t>
            </w:r>
            <w:r>
              <w:rPr>
                <w:rFonts w:ascii="Calibri" w:eastAsia="Times New Roman" w:hAnsi="Calibri"/>
                <w:b/>
                <w:color w:val="000000"/>
              </w:rPr>
              <w:tab/>
            </w:r>
          </w:p>
          <w:p w:rsidR="007860C0" w:rsidRDefault="00916A13" w:rsidP="00044633">
            <w:pPr>
              <w:jc w:val="both"/>
              <w:rPr>
                <w:rFonts w:ascii="Calibri" w:eastAsia="BatangChe" w:hAnsi="Calibri" w:cs="Arial"/>
              </w:rPr>
            </w:pPr>
            <w:r w:rsidRPr="00652179">
              <w:rPr>
                <w:rFonts w:ascii="Calibri" w:eastAsia="BatangChe" w:hAnsi="Calibri" w:cs="Arial"/>
                <w:b/>
              </w:rPr>
              <w:t>Denúncia nº 35</w:t>
            </w:r>
            <w:r w:rsidR="00044633">
              <w:rPr>
                <w:rFonts w:ascii="Calibri" w:eastAsia="BatangChe" w:hAnsi="Calibri" w:cs="Arial"/>
                <w:b/>
              </w:rPr>
              <w:t>32</w:t>
            </w:r>
            <w:r w:rsidR="00652179">
              <w:rPr>
                <w:rFonts w:ascii="Calibri" w:eastAsia="BatangChe" w:hAnsi="Calibri" w:cs="Arial"/>
              </w:rPr>
              <w:t xml:space="preserve"> – </w:t>
            </w:r>
            <w:r w:rsidR="007C1256">
              <w:rPr>
                <w:rFonts w:ascii="Calibri" w:eastAsia="BatangChe" w:hAnsi="Calibri" w:cs="Arial"/>
              </w:rPr>
              <w:t xml:space="preserve">Deliberação </w:t>
            </w:r>
            <w:r w:rsidR="00044633">
              <w:rPr>
                <w:rFonts w:ascii="Calibri" w:eastAsia="BatangChe" w:hAnsi="Calibri" w:cs="Arial"/>
              </w:rPr>
              <w:t>075</w:t>
            </w:r>
            <w:r w:rsidR="007C1256">
              <w:rPr>
                <w:rFonts w:ascii="Calibri" w:eastAsia="BatangChe" w:hAnsi="Calibri" w:cs="Arial"/>
              </w:rPr>
              <w:t xml:space="preserve"> – </w:t>
            </w:r>
            <w:r w:rsidR="00652179">
              <w:rPr>
                <w:rFonts w:ascii="Calibri" w:eastAsia="BatangChe" w:hAnsi="Calibri" w:cs="Arial"/>
              </w:rPr>
              <w:t>A Comissão decidiu</w:t>
            </w:r>
            <w:r w:rsidR="00B14DDB">
              <w:rPr>
                <w:rFonts w:ascii="Calibri" w:eastAsia="BatangChe" w:hAnsi="Calibri" w:cs="Arial"/>
              </w:rPr>
              <w:t xml:space="preserve"> pelo arquivamento da denúncia, em razão de</w:t>
            </w:r>
            <w:r w:rsidR="006B29E2">
              <w:rPr>
                <w:rFonts w:ascii="Calibri" w:eastAsia="BatangChe" w:hAnsi="Calibri" w:cs="Arial"/>
              </w:rPr>
              <w:t xml:space="preserve"> a obra denunciada estar regular perante </w:t>
            </w:r>
            <w:r w:rsidR="00036FDD">
              <w:rPr>
                <w:rFonts w:ascii="Calibri" w:eastAsia="BatangChe" w:hAnsi="Calibri" w:cs="Arial"/>
              </w:rPr>
              <w:t>o</w:t>
            </w:r>
            <w:r w:rsidR="006B29E2">
              <w:rPr>
                <w:rFonts w:ascii="Calibri" w:eastAsia="BatangChe" w:hAnsi="Calibri" w:cs="Arial"/>
              </w:rPr>
              <w:t xml:space="preserve"> CAU/RS.</w:t>
            </w:r>
          </w:p>
          <w:p w:rsidR="001A1CB3" w:rsidRDefault="00DF1D0C" w:rsidP="00044633">
            <w:pPr>
              <w:jc w:val="both"/>
              <w:rPr>
                <w:rFonts w:ascii="Calibri" w:eastAsia="BatangChe" w:hAnsi="Calibri" w:cs="Arial"/>
              </w:rPr>
            </w:pPr>
            <w:bookmarkStart w:id="0" w:name="_GoBack"/>
            <w:bookmarkEnd w:id="0"/>
            <w:r w:rsidRPr="00FF049C">
              <w:rPr>
                <w:rFonts w:ascii="Calibri" w:eastAsia="BatangChe" w:hAnsi="Calibri" w:cs="Arial"/>
                <w:b/>
              </w:rPr>
              <w:t xml:space="preserve">Processo Administrativo </w:t>
            </w:r>
            <w:r w:rsidR="00E979B4" w:rsidRPr="00FF049C">
              <w:rPr>
                <w:rFonts w:ascii="Calibri" w:eastAsia="BatangChe" w:hAnsi="Calibri" w:cs="Arial"/>
                <w:b/>
              </w:rPr>
              <w:t xml:space="preserve">nº </w:t>
            </w:r>
            <w:r w:rsidRPr="00FF049C">
              <w:rPr>
                <w:rFonts w:ascii="Calibri" w:eastAsia="BatangChe" w:hAnsi="Calibri" w:cs="Arial"/>
                <w:b/>
              </w:rPr>
              <w:t>9556/</w:t>
            </w:r>
            <w:r w:rsidR="001A1CB3" w:rsidRPr="00FF049C">
              <w:rPr>
                <w:rFonts w:ascii="Calibri" w:eastAsia="BatangChe" w:hAnsi="Calibri" w:cs="Arial"/>
                <w:b/>
              </w:rPr>
              <w:t xml:space="preserve">Denúncia nº </w:t>
            </w:r>
            <w:r w:rsidRPr="00FF049C">
              <w:rPr>
                <w:rFonts w:ascii="Calibri" w:eastAsia="BatangChe" w:hAnsi="Calibri" w:cs="Arial"/>
                <w:b/>
              </w:rPr>
              <w:t>2656</w:t>
            </w:r>
            <w:r w:rsidR="001A1CB3" w:rsidRPr="00FF049C">
              <w:rPr>
                <w:rFonts w:ascii="Calibri" w:eastAsia="BatangChe" w:hAnsi="Calibri" w:cs="Arial"/>
              </w:rPr>
              <w:t xml:space="preserve"> – Deliberação 0</w:t>
            </w:r>
            <w:r w:rsidR="007072D6" w:rsidRPr="00FF049C">
              <w:rPr>
                <w:rFonts w:ascii="Calibri" w:eastAsia="BatangChe" w:hAnsi="Calibri" w:cs="Arial"/>
              </w:rPr>
              <w:t>87</w:t>
            </w:r>
            <w:r w:rsidR="001A1CB3" w:rsidRPr="00FF049C">
              <w:rPr>
                <w:rFonts w:ascii="Calibri" w:eastAsia="BatangChe" w:hAnsi="Calibri" w:cs="Arial"/>
              </w:rPr>
              <w:t xml:space="preserve"> – A Comissão decidiu </w:t>
            </w:r>
            <w:r w:rsidR="00FF049C" w:rsidRPr="00FF049C">
              <w:rPr>
                <w:rFonts w:ascii="Calibri" w:eastAsia="BatangChe" w:hAnsi="Calibri" w:cs="Arial"/>
              </w:rPr>
              <w:t xml:space="preserve">aguardar a </w:t>
            </w:r>
            <w:r w:rsidR="00910012" w:rsidRPr="00FF049C">
              <w:rPr>
                <w:rFonts w:ascii="Calibri" w:eastAsia="BatangChe" w:hAnsi="Calibri" w:cs="Arial"/>
              </w:rPr>
              <w:t xml:space="preserve">conclusão do registro da empresa no </w:t>
            </w:r>
            <w:r w:rsidR="005333D9" w:rsidRPr="00FF049C">
              <w:rPr>
                <w:rFonts w:ascii="Calibri" w:eastAsia="BatangChe" w:hAnsi="Calibri" w:cs="Arial"/>
              </w:rPr>
              <w:t>CREA</w:t>
            </w:r>
            <w:r w:rsidR="00910012" w:rsidRPr="00FF049C">
              <w:rPr>
                <w:rFonts w:ascii="Calibri" w:eastAsia="BatangChe" w:hAnsi="Calibri" w:cs="Arial"/>
              </w:rPr>
              <w:t>-RS</w:t>
            </w:r>
            <w:r w:rsidR="00B0122D" w:rsidRPr="00FF049C">
              <w:rPr>
                <w:rFonts w:ascii="Calibri" w:eastAsia="BatangChe" w:hAnsi="Calibri" w:cs="Arial"/>
              </w:rPr>
              <w:t xml:space="preserve"> para arquivar o processo</w:t>
            </w:r>
            <w:r w:rsidR="00910012" w:rsidRPr="00FF049C">
              <w:rPr>
                <w:rFonts w:ascii="Calibri" w:eastAsia="BatangChe" w:hAnsi="Calibri" w:cs="Arial"/>
              </w:rPr>
              <w:t>.</w:t>
            </w:r>
          </w:p>
          <w:p w:rsidR="00F565B7" w:rsidRPr="00AE0EEC" w:rsidRDefault="00393636" w:rsidP="00044633">
            <w:pPr>
              <w:jc w:val="both"/>
              <w:rPr>
                <w:rFonts w:ascii="Calibri" w:eastAsia="BatangChe" w:hAnsi="Calibri" w:cs="Arial"/>
              </w:rPr>
            </w:pPr>
            <w:r w:rsidRPr="00652179">
              <w:rPr>
                <w:rFonts w:ascii="Calibri" w:eastAsia="BatangChe" w:hAnsi="Calibri" w:cs="Arial"/>
                <w:b/>
              </w:rPr>
              <w:t xml:space="preserve">Denúncia nº </w:t>
            </w:r>
            <w:r>
              <w:rPr>
                <w:rFonts w:ascii="Calibri" w:eastAsia="BatangChe" w:hAnsi="Calibri" w:cs="Arial"/>
                <w:b/>
              </w:rPr>
              <w:t>176906</w:t>
            </w:r>
            <w:r>
              <w:rPr>
                <w:rFonts w:ascii="Calibri" w:eastAsia="BatangChe" w:hAnsi="Calibri" w:cs="Arial"/>
              </w:rPr>
              <w:t xml:space="preserve"> – Deliberação 090 – A Comissão decidiu pelo arquivamento da </w:t>
            </w:r>
            <w:r w:rsidRPr="00AE0EEC">
              <w:rPr>
                <w:rFonts w:ascii="Calibri" w:eastAsia="BatangChe" w:hAnsi="Calibri" w:cs="Arial"/>
              </w:rPr>
              <w:t xml:space="preserve">denúncia, </w:t>
            </w:r>
            <w:r w:rsidR="00F565B7" w:rsidRPr="00AE0EEC">
              <w:rPr>
                <w:rFonts w:ascii="Calibri" w:eastAsia="BatangChe" w:hAnsi="Calibri" w:cs="Arial"/>
              </w:rPr>
              <w:t>com recomendações de encaminhar a denúncia ao CREA-RS; de requerimento do registro autoral pelo denunciante e da notificação preventiva à pessoa jurídica para que suprima de seu nome fantasia a expressão “arquitetura”.</w:t>
            </w:r>
          </w:p>
          <w:p w:rsidR="001A1CB3" w:rsidRPr="00AE0EEC" w:rsidRDefault="001A1CB3" w:rsidP="00044633">
            <w:pPr>
              <w:jc w:val="both"/>
              <w:rPr>
                <w:rFonts w:ascii="Calibri" w:eastAsia="BatangChe" w:hAnsi="Calibri" w:cs="Arial"/>
              </w:rPr>
            </w:pPr>
            <w:r w:rsidRPr="00AE0EEC">
              <w:rPr>
                <w:rFonts w:ascii="Calibri" w:eastAsia="BatangChe" w:hAnsi="Calibri" w:cs="Arial"/>
                <w:b/>
              </w:rPr>
              <w:t xml:space="preserve">Denúncia nº </w:t>
            </w:r>
            <w:r w:rsidR="00581DEA" w:rsidRPr="00AE0EEC">
              <w:rPr>
                <w:rFonts w:ascii="Calibri" w:eastAsia="BatangChe" w:hAnsi="Calibri" w:cs="Arial"/>
                <w:b/>
              </w:rPr>
              <w:t>2</w:t>
            </w:r>
            <w:r w:rsidR="00E96B12" w:rsidRPr="00AE0EEC">
              <w:rPr>
                <w:rFonts w:ascii="Calibri" w:eastAsia="BatangChe" w:hAnsi="Calibri" w:cs="Arial"/>
                <w:b/>
              </w:rPr>
              <w:t>711</w:t>
            </w:r>
            <w:r w:rsidRPr="00AE0EEC">
              <w:rPr>
                <w:rFonts w:ascii="Calibri" w:eastAsia="BatangChe" w:hAnsi="Calibri" w:cs="Arial"/>
              </w:rPr>
              <w:t xml:space="preserve"> – Deliberação 0</w:t>
            </w:r>
            <w:r w:rsidR="00581DEA" w:rsidRPr="00AE0EEC">
              <w:rPr>
                <w:rFonts w:ascii="Calibri" w:eastAsia="BatangChe" w:hAnsi="Calibri" w:cs="Arial"/>
              </w:rPr>
              <w:t>6</w:t>
            </w:r>
            <w:r w:rsidR="00E96B12" w:rsidRPr="00AE0EEC">
              <w:rPr>
                <w:rFonts w:ascii="Calibri" w:eastAsia="BatangChe" w:hAnsi="Calibri" w:cs="Arial"/>
              </w:rPr>
              <w:t>8</w:t>
            </w:r>
            <w:r w:rsidRPr="00AE0EEC">
              <w:rPr>
                <w:rFonts w:ascii="Calibri" w:eastAsia="BatangChe" w:hAnsi="Calibri" w:cs="Arial"/>
              </w:rPr>
              <w:t xml:space="preserve"> – A Comissão decidiu pelo arqui</w:t>
            </w:r>
            <w:r w:rsidR="004D2320" w:rsidRPr="00AE0EEC">
              <w:rPr>
                <w:rFonts w:ascii="Calibri" w:eastAsia="BatangChe" w:hAnsi="Calibri" w:cs="Arial"/>
              </w:rPr>
              <w:t>vamento da denúncia, em razão da regularidade da obra denunciada.</w:t>
            </w:r>
          </w:p>
          <w:p w:rsidR="001A1CB3" w:rsidRPr="00AE0EEC" w:rsidRDefault="001535D4" w:rsidP="00592332">
            <w:pPr>
              <w:jc w:val="both"/>
              <w:rPr>
                <w:rFonts w:ascii="Calibri" w:eastAsia="BatangChe" w:hAnsi="Calibri" w:cs="Arial"/>
              </w:rPr>
            </w:pPr>
            <w:r w:rsidRPr="00AE0EEC">
              <w:rPr>
                <w:rFonts w:ascii="Calibri" w:eastAsia="BatangChe" w:hAnsi="Calibri" w:cs="Arial"/>
                <w:b/>
              </w:rPr>
              <w:t>Processo Administrativo nº 5367</w:t>
            </w:r>
            <w:r w:rsidRPr="00AE0EEC">
              <w:rPr>
                <w:rFonts w:ascii="Calibri" w:eastAsia="BatangChe" w:hAnsi="Calibri" w:cs="Arial"/>
              </w:rPr>
              <w:t xml:space="preserve"> – Deliberação 097 – A Comissão decidiu pelo arquivamento do processo</w:t>
            </w:r>
            <w:r w:rsidR="002A5B7C" w:rsidRPr="00AE0EEC">
              <w:rPr>
                <w:rFonts w:ascii="Calibri" w:eastAsia="BatangChe" w:hAnsi="Calibri" w:cs="Arial"/>
              </w:rPr>
              <w:t>, em razão da regularização da pessoa jurídica interessada junto ao CAU/RS, do trânsito em julgado do processo administrativo e da quitação da multa aplicada.</w:t>
            </w:r>
          </w:p>
          <w:p w:rsidR="00833CB0" w:rsidRDefault="00833CB0" w:rsidP="001535D4">
            <w:pPr>
              <w:jc w:val="both"/>
              <w:rPr>
                <w:rFonts w:ascii="Calibri" w:eastAsia="BatangChe" w:hAnsi="Calibri" w:cs="Arial"/>
              </w:rPr>
            </w:pPr>
            <w:r w:rsidRPr="00AE0EEC">
              <w:rPr>
                <w:rFonts w:ascii="Calibri" w:eastAsia="BatangChe" w:hAnsi="Calibri" w:cs="Arial"/>
                <w:b/>
              </w:rPr>
              <w:t>Processo Administrativo nº 5838</w:t>
            </w:r>
            <w:r w:rsidRPr="00AE0EEC">
              <w:rPr>
                <w:rFonts w:ascii="Calibri" w:eastAsia="BatangChe" w:hAnsi="Calibri" w:cs="Arial"/>
              </w:rPr>
              <w:t xml:space="preserve"> – Deliberação </w:t>
            </w:r>
            <w:r w:rsidR="001535D4" w:rsidRPr="00AE0EEC">
              <w:rPr>
                <w:rFonts w:ascii="Calibri" w:eastAsia="BatangChe" w:hAnsi="Calibri" w:cs="Arial"/>
              </w:rPr>
              <w:t>101</w:t>
            </w:r>
            <w:r w:rsidRPr="00AE0EEC">
              <w:rPr>
                <w:rFonts w:ascii="Calibri" w:eastAsia="BatangChe" w:hAnsi="Calibri" w:cs="Arial"/>
              </w:rPr>
              <w:t xml:space="preserve"> – A Comissão decidiu pelo arquivamento do processo, em razão da regularização da pessoa jurídica interessada junto ao CAU/RS, do trânsito em julgado</w:t>
            </w:r>
            <w:r>
              <w:rPr>
                <w:rFonts w:ascii="Calibri" w:eastAsia="BatangChe" w:hAnsi="Calibri" w:cs="Arial"/>
              </w:rPr>
              <w:t xml:space="preserve"> do processo administrativo e da quitação da multa aplicada.</w:t>
            </w:r>
          </w:p>
          <w:p w:rsidR="007970AB" w:rsidRDefault="007970AB" w:rsidP="007970AB">
            <w:pPr>
              <w:jc w:val="both"/>
              <w:rPr>
                <w:b/>
              </w:rPr>
            </w:pPr>
            <w:r w:rsidRPr="005715DF">
              <w:rPr>
                <w:b/>
              </w:rPr>
              <w:t>2.2 Processos de RRT Extemporâneo</w:t>
            </w:r>
          </w:p>
          <w:p w:rsidR="00154106" w:rsidRDefault="00154106" w:rsidP="006003A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173986/2014 </w:t>
            </w:r>
            <w:r>
              <w:rPr>
                <w:rFonts w:cs="Arial"/>
              </w:rPr>
              <w:t xml:space="preserve">– Da Arquiteta e Urbanista Elizabeth </w:t>
            </w:r>
            <w:proofErr w:type="spellStart"/>
            <w:r>
              <w:rPr>
                <w:rFonts w:cs="Arial"/>
              </w:rPr>
              <w:t>Gularte</w:t>
            </w:r>
            <w:proofErr w:type="spellEnd"/>
            <w:r>
              <w:rPr>
                <w:rFonts w:cs="Arial"/>
              </w:rPr>
              <w:t xml:space="preserve"> Coelho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2599806 para as atividades de Execução de obra e Execução de estrutura de concreto.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154106" w:rsidRDefault="00154106" w:rsidP="006003A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174034/2014 </w:t>
            </w:r>
            <w:r>
              <w:rPr>
                <w:rFonts w:cs="Arial"/>
              </w:rPr>
              <w:t xml:space="preserve">– Da Arquiteta e Urbanista Elizabeth </w:t>
            </w:r>
            <w:proofErr w:type="spellStart"/>
            <w:r>
              <w:rPr>
                <w:rFonts w:cs="Arial"/>
              </w:rPr>
              <w:t>Gularte</w:t>
            </w:r>
            <w:proofErr w:type="spellEnd"/>
            <w:r>
              <w:rPr>
                <w:rFonts w:cs="Arial"/>
              </w:rPr>
              <w:t xml:space="preserve"> Coelho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2599457 para as atividades de Execução de obra e Execução de estrutura de concreto.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720E0" w:rsidRDefault="00C720E0" w:rsidP="00C72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177046/2014 </w:t>
            </w:r>
            <w:r>
              <w:rPr>
                <w:rFonts w:cs="Arial"/>
              </w:rPr>
              <w:t xml:space="preserve">– Da Arquiteta e Urbanista Edson Luiz </w:t>
            </w:r>
            <w:proofErr w:type="spellStart"/>
            <w:r>
              <w:rPr>
                <w:rFonts w:cs="Arial"/>
              </w:rPr>
              <w:t>Zanini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2637851 para as atividades de Execução de estrutura metálica.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720E0" w:rsidRDefault="00C720E0" w:rsidP="00C72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177614/2014 </w:t>
            </w:r>
            <w:r>
              <w:rPr>
                <w:rFonts w:cs="Arial"/>
              </w:rPr>
              <w:t xml:space="preserve">– Do Arquiteto e Urbanista Miguel </w:t>
            </w:r>
            <w:proofErr w:type="spellStart"/>
            <w:r>
              <w:rPr>
                <w:rFonts w:cs="Arial"/>
              </w:rPr>
              <w:t>Abrhão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Pugen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2509529 para a atividade de Projeto de parcelamento do solo mediante desmembramento ou remembramento.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720E0" w:rsidRDefault="00C720E0" w:rsidP="00C72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177664/2014 </w:t>
            </w:r>
            <w:r>
              <w:rPr>
                <w:rFonts w:cs="Arial"/>
              </w:rPr>
              <w:t xml:space="preserve">– Do Arquiteto e Urbanista Flavio Maya Simões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2589556 para a atividade de Consultoria.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720E0" w:rsidRDefault="00C720E0" w:rsidP="00C72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177823/2014 </w:t>
            </w:r>
            <w:r>
              <w:rPr>
                <w:rFonts w:cs="Arial"/>
              </w:rPr>
              <w:t xml:space="preserve">– Da Arquiteta e Urbanista Silvia Melchior </w:t>
            </w:r>
            <w:proofErr w:type="spellStart"/>
            <w:r>
              <w:rPr>
                <w:rFonts w:cs="Arial"/>
              </w:rPr>
              <w:t>Seibert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2673625 </w:t>
            </w:r>
            <w:r>
              <w:rPr>
                <w:rFonts w:cs="Arial"/>
              </w:rPr>
              <w:lastRenderedPageBreak/>
              <w:t xml:space="preserve">para as atividades de Projeto de arquitetura de interiores e Projeto de mobiliário.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720E0" w:rsidRDefault="00C720E0" w:rsidP="00C72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178275/2014 </w:t>
            </w:r>
            <w:r>
              <w:rPr>
                <w:rFonts w:cs="Arial"/>
              </w:rPr>
              <w:t xml:space="preserve">– Da Arquiteta e Urbanista Patrícia </w:t>
            </w:r>
            <w:proofErr w:type="spellStart"/>
            <w:r>
              <w:rPr>
                <w:rFonts w:cs="Arial"/>
              </w:rPr>
              <w:t>Schnorr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Blaschke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2563135 para as atividades de Execução de instalação, Execução de serviço e Projeto.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720E0" w:rsidRDefault="00C720E0" w:rsidP="00C72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178357/2014 </w:t>
            </w:r>
            <w:r>
              <w:rPr>
                <w:rFonts w:cs="Arial"/>
              </w:rPr>
              <w:t xml:space="preserve">– Da Arquiteta e Urbanista Patrícia </w:t>
            </w:r>
            <w:proofErr w:type="spellStart"/>
            <w:r>
              <w:rPr>
                <w:rFonts w:cs="Arial"/>
              </w:rPr>
              <w:t>Schnorr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Blaschke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2563173 para a atividade de Laudo técnico.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178376/2014 </w:t>
            </w:r>
            <w:r>
              <w:rPr>
                <w:rFonts w:cs="Arial"/>
              </w:rPr>
              <w:t xml:space="preserve">– Do Arquiteto e Urbanista Juliano Nikolay da Silva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2563838 para a atividade de Projeto arquitetônico.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178445/2014 </w:t>
            </w:r>
            <w:r>
              <w:rPr>
                <w:rFonts w:cs="Arial"/>
              </w:rPr>
              <w:t xml:space="preserve">– Da Arquiteta e Urbanista Karina de Oliveira </w:t>
            </w:r>
            <w:proofErr w:type="spellStart"/>
            <w:r>
              <w:rPr>
                <w:rFonts w:cs="Arial"/>
              </w:rPr>
              <w:t>Petry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2565687 para a atividade de Projeto arquitetônico.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178462/2014 </w:t>
            </w:r>
            <w:r>
              <w:rPr>
                <w:rFonts w:cs="Arial"/>
              </w:rPr>
              <w:t xml:space="preserve">– Da Arquiteta e Urbanista Karina de Oliveira </w:t>
            </w:r>
            <w:proofErr w:type="spellStart"/>
            <w:r>
              <w:rPr>
                <w:rFonts w:cs="Arial"/>
              </w:rPr>
              <w:t>Petry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2566109 para as atividades de Projeto arquitetônico e Orçamento.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178488/2014 </w:t>
            </w:r>
            <w:r>
              <w:rPr>
                <w:rFonts w:cs="Arial"/>
              </w:rPr>
              <w:t xml:space="preserve">– Da Arquiteta e Urbanista Karina de Oliveira </w:t>
            </w:r>
            <w:proofErr w:type="spellStart"/>
            <w:r>
              <w:rPr>
                <w:rFonts w:cs="Arial"/>
              </w:rPr>
              <w:t>Petry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2568317 para a atividade de Orçamento.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178503/2014 </w:t>
            </w:r>
            <w:r>
              <w:rPr>
                <w:rFonts w:cs="Arial"/>
              </w:rPr>
              <w:t xml:space="preserve">– Da Arquiteta e Urbanista Karina de Oliveira </w:t>
            </w:r>
            <w:proofErr w:type="spellStart"/>
            <w:r>
              <w:rPr>
                <w:rFonts w:cs="Arial"/>
              </w:rPr>
              <w:t>Petry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2568557 para a atividade de Projeto arquitetônico.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178511/2014 </w:t>
            </w:r>
            <w:r>
              <w:rPr>
                <w:rFonts w:cs="Arial"/>
              </w:rPr>
              <w:t xml:space="preserve">– Do Arquiteto e Urbanista Martin Bruno Simões Pires </w:t>
            </w:r>
            <w:proofErr w:type="spellStart"/>
            <w:r>
              <w:rPr>
                <w:rFonts w:cs="Arial"/>
              </w:rPr>
              <w:t>Wayhs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2595094 para as atividades de Execução de obra, Execução de estrutura de concreto, Execução de instalações hidrossanitárias prediais e Execução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178523/2014 </w:t>
            </w:r>
            <w:r>
              <w:rPr>
                <w:rFonts w:cs="Arial"/>
              </w:rPr>
              <w:t xml:space="preserve">– Da Arquiteta e Urbanista Ruth Regina Barbosa da Assis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2601081 para a atividade de Estudo de impacto de vizinhança – EIV.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9270B2" w:rsidRDefault="009270B2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179424/2014 </w:t>
            </w:r>
            <w:r>
              <w:rPr>
                <w:rFonts w:cs="Arial"/>
              </w:rPr>
              <w:t xml:space="preserve">– Da Arquiteta e Urbanista </w:t>
            </w:r>
            <w:proofErr w:type="spellStart"/>
            <w:r>
              <w:rPr>
                <w:rFonts w:cs="Arial"/>
              </w:rPr>
              <w:t>Neila</w:t>
            </w:r>
            <w:proofErr w:type="spellEnd"/>
            <w:r>
              <w:rPr>
                <w:rFonts w:cs="Arial"/>
              </w:rPr>
              <w:t xml:space="preserve"> Marinho Matte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2303013 para as atividades de Execução de adequação de acessibilidade, Execução de estrutura de madeira, Execução de estrutura de concreto, Execução de estrutura metálica, Execução de instalações de ventilação, exaustão e climatização, Execução de cabeamento estruturado, automação e lógica em edifícios, Execução de instalações hidrossanitárias prediais, Execução de instalações prediais de águas pluviais e Execução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7970AB" w:rsidRDefault="007970AB" w:rsidP="006003A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179</w:t>
            </w:r>
            <w:r w:rsidR="006003A6">
              <w:rPr>
                <w:rFonts w:cs="Arial"/>
                <w:b/>
              </w:rPr>
              <w:t>49</w:t>
            </w:r>
            <w:r>
              <w:rPr>
                <w:rFonts w:cs="Arial"/>
                <w:b/>
              </w:rPr>
              <w:t xml:space="preserve">5/2014 </w:t>
            </w:r>
            <w:r>
              <w:rPr>
                <w:rFonts w:cs="Arial"/>
              </w:rPr>
              <w:t xml:space="preserve">– Do Arquiteto e Urbanista Edson Luiz </w:t>
            </w:r>
            <w:proofErr w:type="spellStart"/>
            <w:r>
              <w:rPr>
                <w:rFonts w:cs="Arial"/>
              </w:rPr>
              <w:t>Zanini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2688885 para as atividades de Execução de obra, Execução de estrutura de concreto, Execução de estrutura pré-fabricada, Execução de estrutura metálica, Execução de instalações hidrossanitárias prediais e Execução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180062/2014 </w:t>
            </w:r>
            <w:r>
              <w:rPr>
                <w:rFonts w:cs="Arial"/>
              </w:rPr>
              <w:t xml:space="preserve">– Do Arquiteto e Urbanista Edson da Cunha </w:t>
            </w:r>
            <w:proofErr w:type="spellStart"/>
            <w:r>
              <w:rPr>
                <w:rFonts w:cs="Arial"/>
              </w:rPr>
              <w:t>Mahfuz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2374591 para a atividade de Projeto arquitetônico de reforma.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180842/2014 </w:t>
            </w:r>
            <w:r>
              <w:rPr>
                <w:rFonts w:cs="Arial"/>
              </w:rPr>
              <w:t xml:space="preserve">– Do Arquiteto e Urbanista Ricardo </w:t>
            </w:r>
            <w:proofErr w:type="spellStart"/>
            <w:r>
              <w:rPr>
                <w:rFonts w:cs="Arial"/>
              </w:rPr>
              <w:t>Hickmann</w:t>
            </w:r>
            <w:proofErr w:type="spellEnd"/>
            <w:r>
              <w:rPr>
                <w:rFonts w:cs="Arial"/>
              </w:rPr>
              <w:t xml:space="preserve"> dos Santos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2671227 para as atividades de Execução de obra, Execução de estrutura de concreto, Execução de outras estruturas e Execução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lastRenderedPageBreak/>
              <w:t xml:space="preserve">Processo nº </w:t>
            </w:r>
            <w:r>
              <w:rPr>
                <w:rFonts w:cs="Arial"/>
                <w:b/>
              </w:rPr>
              <w:t xml:space="preserve">181008/2014 </w:t>
            </w:r>
            <w:r>
              <w:rPr>
                <w:rFonts w:cs="Arial"/>
              </w:rPr>
              <w:t xml:space="preserve">– Do Arquiteto e Urbanista Geraldo </w:t>
            </w:r>
            <w:proofErr w:type="spellStart"/>
            <w:r>
              <w:rPr>
                <w:rFonts w:cs="Arial"/>
              </w:rPr>
              <w:t>Bau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2694343 para as atividades de Execução de obra, Execução de estrutura de concreto, Execução de instalações hidrossanitárias prediais e Execução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181185/2014 </w:t>
            </w:r>
            <w:r>
              <w:rPr>
                <w:rFonts w:cs="Arial"/>
              </w:rPr>
              <w:t xml:space="preserve">– Do Arquiteto e Urbanista Valter Lusa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2634250 para as atividades de Projeto de reforma de interiores, Projeto de instalações hidrossanitárias prediais e Projeto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60776" w:rsidRDefault="00B60776" w:rsidP="00B60776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181216/2014 </w:t>
            </w:r>
            <w:r>
              <w:rPr>
                <w:rFonts w:cs="Arial"/>
              </w:rPr>
              <w:t xml:space="preserve">– Do Arquiteto e Urbanista Valter Lusa </w:t>
            </w:r>
            <w:r w:rsidRPr="00EF6B42">
              <w:rPr>
                <w:rFonts w:cs="Arial"/>
              </w:rPr>
              <w:t xml:space="preserve">– Registro do RRT nº </w:t>
            </w:r>
            <w:proofErr w:type="gramStart"/>
            <w:r>
              <w:rPr>
                <w:rFonts w:cs="Arial"/>
              </w:rPr>
              <w:t>2634281 para as atividades de Execução de reformas de interiores, Execução</w:t>
            </w:r>
            <w:proofErr w:type="gramEnd"/>
            <w:r>
              <w:rPr>
                <w:rFonts w:cs="Arial"/>
              </w:rPr>
              <w:t xml:space="preserve"> de instalações hidrossanitárias prediais e Execução de instalações elétricas prediais de baixa tensão.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25ED6" w:rsidRDefault="00741A28" w:rsidP="00C46093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182116/2014 </w:t>
            </w:r>
            <w:r>
              <w:rPr>
                <w:rFonts w:cs="Arial"/>
              </w:rPr>
              <w:t xml:space="preserve">– Da Arquiteta e Urbanista Luciane Schuler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2669183 para as atividades de Execução de instalações hidrossanitárias prediais.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C25ED6" w:rsidRDefault="00C25ED6" w:rsidP="00C25ED6">
            <w:pPr>
              <w:jc w:val="both"/>
              <w:rPr>
                <w:b/>
              </w:rPr>
            </w:pPr>
            <w:r w:rsidRPr="005715DF">
              <w:rPr>
                <w:b/>
              </w:rPr>
              <w:t>2.3 Processos de Cancelamento de RRT</w:t>
            </w:r>
          </w:p>
          <w:p w:rsidR="00C25ED6" w:rsidRDefault="00C25ED6" w:rsidP="00544EB1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>
              <w:rPr>
                <w:b/>
              </w:rPr>
              <w:t>17</w:t>
            </w:r>
            <w:r w:rsidR="00544EB1">
              <w:rPr>
                <w:b/>
              </w:rPr>
              <w:t>8132</w:t>
            </w:r>
            <w:r>
              <w:rPr>
                <w:b/>
              </w:rPr>
              <w:t xml:space="preserve">/2014 </w:t>
            </w:r>
            <w:r>
              <w:rPr>
                <w:rFonts w:cs="Arial"/>
              </w:rPr>
              <w:t>– D</w:t>
            </w:r>
            <w:r w:rsidR="00544EB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Arquitet</w:t>
            </w:r>
            <w:r w:rsidR="00544EB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e Urbanista </w:t>
            </w:r>
            <w:proofErr w:type="spellStart"/>
            <w:r w:rsidR="00544EB1">
              <w:t>Edilana</w:t>
            </w:r>
            <w:proofErr w:type="spellEnd"/>
            <w:r w:rsidR="00544EB1">
              <w:t xml:space="preserve"> Leticia </w:t>
            </w:r>
            <w:proofErr w:type="spellStart"/>
            <w:r w:rsidR="00544EB1">
              <w:t>Somacal</w:t>
            </w:r>
            <w:proofErr w:type="spellEnd"/>
            <w:r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544EB1">
              <w:t>1281152</w:t>
            </w:r>
            <w:r w:rsidRPr="00D639B3">
              <w:t xml:space="preserve"> </w:t>
            </w:r>
            <w:r>
              <w:rPr>
                <w:rFonts w:cs="Arial"/>
              </w:rPr>
              <w:t>para a</w:t>
            </w:r>
            <w:r w:rsidR="00E83A38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atividade</w:t>
            </w:r>
            <w:r w:rsidR="00E83A38">
              <w:rPr>
                <w:rFonts w:cs="Arial"/>
              </w:rPr>
              <w:t>s</w:t>
            </w:r>
            <w:r w:rsidRPr="009C7EF0">
              <w:rPr>
                <w:rFonts w:cs="Arial"/>
              </w:rPr>
              <w:t xml:space="preserve"> de </w:t>
            </w:r>
            <w:r w:rsidR="00544EB1">
              <w:rPr>
                <w:rFonts w:cs="Arial"/>
              </w:rPr>
              <w:t>Execução de obra, Execução de estrutura de concreto, Execução de outras estruturas, Execução de instalações hidrossanitárias prediais e Execução de instalações elétricas prediais de baixa tensão.</w:t>
            </w:r>
            <w:r w:rsidRPr="00463605">
              <w:t xml:space="preserve"> Nenhuma </w:t>
            </w:r>
            <w:r>
              <w:t xml:space="preserve">das atividades </w:t>
            </w:r>
            <w:r w:rsidR="00544EB1">
              <w:t xml:space="preserve">técnicas </w:t>
            </w:r>
            <w:r>
              <w:t xml:space="preserve">foi executada. </w:t>
            </w:r>
            <w:r w:rsidR="00544EB1">
              <w:t>A execução do projeto não será iniciada</w:t>
            </w:r>
            <w:r w:rsidRPr="00D639B3">
              <w:t>.</w:t>
            </w:r>
            <w:r>
              <w:t xml:space="preserve"> Aprovado.</w:t>
            </w:r>
          </w:p>
          <w:p w:rsidR="0051560B" w:rsidRDefault="0051560B" w:rsidP="00544EB1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>
              <w:rPr>
                <w:b/>
              </w:rPr>
              <w:t>17</w:t>
            </w:r>
            <w:r w:rsidR="00E83A38">
              <w:rPr>
                <w:b/>
              </w:rPr>
              <w:t>9639</w:t>
            </w:r>
            <w:r>
              <w:rPr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r w:rsidR="00E83A38">
              <w:t xml:space="preserve">Jane Mirian </w:t>
            </w:r>
            <w:proofErr w:type="spellStart"/>
            <w:r w:rsidR="00E83A38">
              <w:t>Wurth</w:t>
            </w:r>
            <w:proofErr w:type="spellEnd"/>
            <w:r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E83A38">
              <w:t>2122540</w:t>
            </w:r>
            <w:r w:rsidRPr="00D639B3">
              <w:t xml:space="preserve"> </w:t>
            </w:r>
            <w:r>
              <w:rPr>
                <w:rFonts w:cs="Arial"/>
              </w:rPr>
              <w:t>para a</w:t>
            </w:r>
            <w:r w:rsidR="00E83A38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atividade</w:t>
            </w:r>
            <w:r w:rsidR="00E83A38">
              <w:rPr>
                <w:rFonts w:cs="Arial"/>
              </w:rPr>
              <w:t>s</w:t>
            </w:r>
            <w:r w:rsidRPr="009C7EF0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Execução de obra, Execução de estrutura de concreto, Execução de outras estruturas, Execução de instalações hidrossanitárias prediais e Execução de instalações elétricas prediais de baixa tensão.</w:t>
            </w:r>
            <w:r w:rsidRPr="00463605">
              <w:t xml:space="preserve"> Nenhuma </w:t>
            </w:r>
            <w:r>
              <w:t xml:space="preserve">das atividades técnicas foi executada. </w:t>
            </w:r>
            <w:r w:rsidR="00AD2778">
              <w:t>O proprietário desistiu da obra por falta de recursos financeiros</w:t>
            </w:r>
            <w:r w:rsidRPr="00D639B3">
              <w:t>.</w:t>
            </w:r>
            <w:r>
              <w:t xml:space="preserve"> </w:t>
            </w:r>
            <w:r w:rsidR="00BF17CA">
              <w:t>A Comissão solicita a alteração do título do pedido de “baixa” para “cancelamento”.</w:t>
            </w:r>
          </w:p>
          <w:p w:rsidR="0051560B" w:rsidRPr="00B60776" w:rsidRDefault="0051560B" w:rsidP="00BF17CA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F17CA">
              <w:rPr>
                <w:b/>
              </w:rPr>
              <w:t>180554</w:t>
            </w:r>
            <w:r>
              <w:rPr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proofErr w:type="spellStart"/>
            <w:r w:rsidR="00BF17CA">
              <w:t>Grasieli</w:t>
            </w:r>
            <w:proofErr w:type="spellEnd"/>
            <w:r w:rsidR="00BF17CA">
              <w:t xml:space="preserve"> </w:t>
            </w:r>
            <w:proofErr w:type="spellStart"/>
            <w:r w:rsidR="00BF17CA">
              <w:t>Schwanck</w:t>
            </w:r>
            <w:proofErr w:type="spellEnd"/>
            <w:r w:rsidR="00BF17CA">
              <w:t xml:space="preserve"> </w:t>
            </w:r>
            <w:proofErr w:type="spellStart"/>
            <w:r w:rsidR="00BF17CA">
              <w:t>Selau</w:t>
            </w:r>
            <w:proofErr w:type="spellEnd"/>
            <w:r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BF17CA">
              <w:t>2006591</w:t>
            </w:r>
            <w:r w:rsidRPr="00D639B3">
              <w:t xml:space="preserve"> </w:t>
            </w:r>
            <w:r>
              <w:rPr>
                <w:rFonts w:cs="Arial"/>
              </w:rPr>
              <w:t>para a</w:t>
            </w:r>
            <w:r w:rsidR="00BF17CA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atividade</w:t>
            </w:r>
            <w:r w:rsidR="00BF17CA">
              <w:rPr>
                <w:rFonts w:cs="Arial"/>
              </w:rPr>
              <w:t>s</w:t>
            </w:r>
            <w:r w:rsidRPr="009C7EF0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Execução de obra, Execução de estrutura de concreto, Execução de outras estruturas, Execução de instalações hidrossanitárias prediais e Execução de instalações elétricas prediais de baixa tensão.</w:t>
            </w:r>
            <w:r w:rsidRPr="00463605">
              <w:t xml:space="preserve"> </w:t>
            </w:r>
            <w:r w:rsidR="00BF17CA">
              <w:t>O contrato não foi executado. O profissional ficará responsabilizado apenas pelo projeto</w:t>
            </w:r>
            <w:r w:rsidRPr="00D639B3">
              <w:t>.</w:t>
            </w:r>
            <w:r>
              <w:t xml:space="preserve"> Aprovado.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A33E38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A33E38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A33E38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646BE" w:rsidRPr="006B5271" w:rsidRDefault="006B5271" w:rsidP="00C740CD">
            <w:pPr>
              <w:rPr>
                <w:rFonts w:ascii="Calibri" w:eastAsia="BatangChe" w:hAnsi="Calibri" w:cs="Arial"/>
              </w:rPr>
            </w:pPr>
            <w:r w:rsidRPr="006B5271">
              <w:rPr>
                <w:rFonts w:ascii="Calibri" w:eastAsia="BatangChe" w:hAnsi="Calibri" w:cs="Arial"/>
              </w:rPr>
              <w:t>Não foram analisadas denúncias nesta reunião.</w:t>
            </w:r>
            <w:r w:rsidR="00B23DB9" w:rsidRPr="006B5271">
              <w:rPr>
                <w:rFonts w:ascii="Calibri" w:eastAsia="BatangChe" w:hAnsi="Calibri" w:cs="Arial"/>
              </w:rPr>
              <w:t xml:space="preserve"> </w:t>
            </w:r>
          </w:p>
        </w:tc>
      </w:tr>
      <w:tr w:rsidR="006E0FA1" w:rsidRPr="003860E8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2756" w:rsidRPr="004D2417" w:rsidRDefault="00D12756" w:rsidP="00B84A7C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A603CC">
              <w:rPr>
                <w:rFonts w:ascii="Calibri" w:eastAsia="Times New Roman" w:hAnsi="Calibri"/>
                <w:b/>
                <w:color w:val="000000"/>
              </w:rPr>
              <w:t>4</w:t>
            </w:r>
            <w:r w:rsidR="00B00F35">
              <w:rPr>
                <w:rFonts w:ascii="Calibri" w:eastAsia="Times New Roman" w:hAnsi="Calibri"/>
                <w:b/>
                <w:color w:val="000000"/>
              </w:rPr>
              <w:t>.1 Processo</w:t>
            </w:r>
            <w:proofErr w:type="gramEnd"/>
            <w:r w:rsidR="00B00F35">
              <w:rPr>
                <w:rFonts w:ascii="Calibri" w:eastAsia="Times New Roman" w:hAnsi="Calibri"/>
                <w:b/>
                <w:color w:val="000000"/>
              </w:rPr>
              <w:t xml:space="preserve"> Eletrônico</w:t>
            </w:r>
            <w:r w:rsidR="00B00F35" w:rsidRPr="00B21A0F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B21A0F" w:rsidRPr="00B21A0F">
              <w:rPr>
                <w:rFonts w:ascii="Calibri" w:eastAsia="Times New Roman" w:hAnsi="Calibri"/>
                <w:color w:val="000000"/>
              </w:rPr>
              <w:t xml:space="preserve">O </w:t>
            </w:r>
            <w:r w:rsidR="001A41AE">
              <w:rPr>
                <w:rFonts w:ascii="Calibri" w:eastAsia="Times New Roman" w:hAnsi="Calibri"/>
                <w:color w:val="000000"/>
              </w:rPr>
              <w:t>Ass. Jurídico Mauro e a Analista de TI Fabiana apresentaram à Comissão resumo da reunião ocorrida em 17/09/2014 com representante comercial de empresa de software consultada para implementação do processo eletrônico nos procedimentos administrativos do CAU/RS.</w:t>
            </w:r>
            <w:r w:rsidR="003E26A6">
              <w:rPr>
                <w:rFonts w:ascii="Calibri" w:eastAsia="Times New Roman" w:hAnsi="Calibri"/>
                <w:color w:val="000000"/>
              </w:rPr>
              <w:t xml:space="preserve"> A Cons. Rosana explica que a Comissão deve elaborar um projeto para apresentar ao Conselho solicitando a aquisição do programa.</w:t>
            </w:r>
          </w:p>
          <w:p w:rsidR="002C6443" w:rsidRDefault="002C6443" w:rsidP="00916682">
            <w:pPr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2C6443">
              <w:rPr>
                <w:rFonts w:ascii="Calibri" w:eastAsia="Times New Roman" w:hAnsi="Calibri"/>
                <w:b/>
                <w:color w:val="000000"/>
              </w:rPr>
              <w:t>4.</w:t>
            </w:r>
            <w:r w:rsidR="00B84A7C"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2C6443">
              <w:rPr>
                <w:rFonts w:ascii="Calibri" w:eastAsia="Times New Roman" w:hAnsi="Calibri"/>
                <w:b/>
                <w:color w:val="000000"/>
              </w:rPr>
              <w:t xml:space="preserve"> Reunião</w:t>
            </w:r>
            <w:proofErr w:type="gramEnd"/>
            <w:r w:rsidRPr="002C6443">
              <w:rPr>
                <w:rFonts w:ascii="Calibri" w:eastAsia="Times New Roman" w:hAnsi="Calibri"/>
                <w:b/>
                <w:color w:val="000000"/>
              </w:rPr>
              <w:t xml:space="preserve"> Extraordinária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916682">
              <w:rPr>
                <w:rFonts w:ascii="Calibri" w:eastAsia="Times New Roman" w:hAnsi="Calibri"/>
                <w:color w:val="000000"/>
              </w:rPr>
              <w:t>A Comissão definiu o dia 24</w:t>
            </w:r>
            <w:r>
              <w:rPr>
                <w:rFonts w:ascii="Calibri" w:eastAsia="Times New Roman" w:hAnsi="Calibri"/>
                <w:color w:val="000000"/>
              </w:rPr>
              <w:t>/09 para realização de reunião</w:t>
            </w:r>
            <w:r w:rsidR="00916682">
              <w:rPr>
                <w:rFonts w:ascii="Calibri" w:eastAsia="Times New Roman" w:hAnsi="Calibri"/>
                <w:color w:val="000000"/>
              </w:rPr>
              <w:t xml:space="preserve"> extraordinária</w:t>
            </w:r>
            <w:r>
              <w:rPr>
                <w:rFonts w:ascii="Calibri" w:eastAsia="Times New Roman" w:hAnsi="Calibri"/>
                <w:color w:val="000000"/>
              </w:rPr>
              <w:t xml:space="preserve"> para análise dos processos.</w:t>
            </w:r>
          </w:p>
          <w:p w:rsidR="00226F49" w:rsidRDefault="00181C87" w:rsidP="00916682">
            <w:pPr>
              <w:jc w:val="both"/>
              <w:rPr>
                <w:rFonts w:ascii="Calibri" w:eastAsia="Times New Roman" w:hAnsi="Calibri"/>
                <w:i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4.3 Planejamento</w:t>
            </w:r>
            <w:proofErr w:type="gramEnd"/>
            <w:r>
              <w:rPr>
                <w:rFonts w:ascii="Calibri" w:eastAsia="Times New Roman" w:hAnsi="Calibri"/>
                <w:b/>
                <w:color w:val="000000"/>
              </w:rPr>
              <w:t xml:space="preserve"> de Ações 2015</w:t>
            </w:r>
            <w:r w:rsidR="00226F49" w:rsidRPr="00181C87">
              <w:rPr>
                <w:rFonts w:ascii="Calibri" w:eastAsia="Times New Roman" w:hAnsi="Calibri"/>
                <w:color w:val="000000"/>
              </w:rPr>
              <w:t xml:space="preserve"> </w:t>
            </w:r>
            <w:r w:rsidR="00226F49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903EA2">
              <w:rPr>
                <w:rFonts w:ascii="Calibri" w:eastAsia="Times New Roman" w:hAnsi="Calibri"/>
                <w:color w:val="000000"/>
              </w:rPr>
              <w:t xml:space="preserve">A Ass. de Planejamento Ângela </w:t>
            </w:r>
            <w:proofErr w:type="spellStart"/>
            <w:r w:rsidR="00903EA2">
              <w:rPr>
                <w:rFonts w:ascii="Calibri" w:eastAsia="Times New Roman" w:hAnsi="Calibri"/>
                <w:color w:val="000000"/>
              </w:rPr>
              <w:t>Rímolo</w:t>
            </w:r>
            <w:proofErr w:type="spellEnd"/>
            <w:r w:rsidR="00903EA2">
              <w:rPr>
                <w:rFonts w:ascii="Calibri" w:eastAsia="Times New Roman" w:hAnsi="Calibri"/>
                <w:color w:val="000000"/>
              </w:rPr>
              <w:t xml:space="preserve"> explica aos Conselheiros a nova formatação do Plano de Ação para o ano de 2015, conforme orientação do CAU/BR. Foram definidos objetivos estratégicos que permitirão maior controle das metas e visualização das atividades desenvolvidas.</w:t>
            </w:r>
            <w:r w:rsidR="008B5652" w:rsidRPr="008B5652">
              <w:rPr>
                <w:rFonts w:ascii="Calibri" w:eastAsia="Times New Roman" w:hAnsi="Calibri"/>
                <w:i/>
                <w:color w:val="000000"/>
              </w:rPr>
              <w:t xml:space="preserve"> </w:t>
            </w:r>
            <w:r w:rsidR="003E26A6" w:rsidRPr="003E26A6">
              <w:rPr>
                <w:rFonts w:ascii="Calibri" w:eastAsia="Times New Roman" w:hAnsi="Calibri"/>
                <w:color w:val="000000"/>
              </w:rPr>
              <w:t>A</w:t>
            </w:r>
            <w:r w:rsidR="003E26A6">
              <w:rPr>
                <w:rFonts w:ascii="Calibri" w:eastAsia="Times New Roman" w:hAnsi="Calibri"/>
                <w:color w:val="000000"/>
              </w:rPr>
              <w:t xml:space="preserve"> Comissão se compromete em iniciar a elaboração do novo documento.</w:t>
            </w:r>
          </w:p>
          <w:p w:rsidR="00F03518" w:rsidRPr="00F03518" w:rsidRDefault="00F03518" w:rsidP="006B5271">
            <w:pPr>
              <w:jc w:val="both"/>
              <w:rPr>
                <w:rFonts w:cs="Arial"/>
              </w:rPr>
            </w:pPr>
            <w:r w:rsidRPr="00F03518">
              <w:rPr>
                <w:rFonts w:ascii="Calibri" w:eastAsia="Times New Roman" w:hAnsi="Calibri"/>
                <w:b/>
                <w:color w:val="000000"/>
              </w:rPr>
              <w:lastRenderedPageBreak/>
              <w:t>4.4 Processos para inscrição em dívida ativa no CAU/RS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B5271">
              <w:rPr>
                <w:rFonts w:ascii="Calibri" w:eastAsia="Times New Roman" w:hAnsi="Calibri"/>
                <w:color w:val="000000"/>
              </w:rPr>
              <w:t xml:space="preserve">O Presidente Roberto Py comunica que será levada ao Plenário proposta da Comissão de Ética e Disciplina para Audiências Conciliadoras, que poderiam ser adotadas pela CEP, para acordos com os profissionais e empresas autuados pelo CAU/RS. </w:t>
            </w:r>
            <w:r>
              <w:rPr>
                <w:rFonts w:ascii="Calibri" w:eastAsia="Times New Roman" w:hAnsi="Calibri"/>
                <w:color w:val="000000"/>
              </w:rPr>
              <w:t xml:space="preserve">O Cons. Marcelo, Coordenador da Comissão de Ética e Disciplina, </w:t>
            </w:r>
            <w:r w:rsidR="006B5271">
              <w:rPr>
                <w:rFonts w:ascii="Calibri" w:eastAsia="Times New Roman" w:hAnsi="Calibri"/>
                <w:color w:val="000000"/>
              </w:rPr>
              <w:t xml:space="preserve">solicita que sejam revisados pela CEP os processos que seguirão o procedimento de cobrança judicial. 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C87AF1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Roberto Py Gomes da Silveira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C87AF1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Presidente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145B0F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87A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Pr="001F028B" w:rsidRDefault="00AA6825" w:rsidP="00AA6825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</w:t>
    </w:r>
    <w:r>
      <w:rPr>
        <w:rFonts w:ascii="DaxCondensed" w:hAnsi="DaxCondensed" w:cs="Arial"/>
        <w:color w:val="2C778C"/>
        <w:sz w:val="18"/>
        <w:szCs w:val="18"/>
      </w:rPr>
      <w:t xml:space="preserve">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F5724" wp14:editId="2FEEBF3E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F65"/>
    <w:rsid w:val="000120D9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3B4"/>
    <w:rsid w:val="00073660"/>
    <w:rsid w:val="00073D5F"/>
    <w:rsid w:val="00074395"/>
    <w:rsid w:val="00076A4D"/>
    <w:rsid w:val="00076EBA"/>
    <w:rsid w:val="00080BEC"/>
    <w:rsid w:val="00081BD8"/>
    <w:rsid w:val="0008279C"/>
    <w:rsid w:val="00082E8F"/>
    <w:rsid w:val="000839FC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AB0"/>
    <w:rsid w:val="000E5B7C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DD2"/>
    <w:rsid w:val="0015020D"/>
    <w:rsid w:val="00150675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8DA"/>
    <w:rsid w:val="001714E6"/>
    <w:rsid w:val="001725A6"/>
    <w:rsid w:val="001734AD"/>
    <w:rsid w:val="0017401C"/>
    <w:rsid w:val="00175A25"/>
    <w:rsid w:val="00176032"/>
    <w:rsid w:val="00176C1D"/>
    <w:rsid w:val="00177C18"/>
    <w:rsid w:val="00181529"/>
    <w:rsid w:val="00181C87"/>
    <w:rsid w:val="00181CAF"/>
    <w:rsid w:val="00182559"/>
    <w:rsid w:val="001831CC"/>
    <w:rsid w:val="00184CC8"/>
    <w:rsid w:val="00186D47"/>
    <w:rsid w:val="00191740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546"/>
    <w:rsid w:val="001B38C0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876"/>
    <w:rsid w:val="00222E1C"/>
    <w:rsid w:val="0022361A"/>
    <w:rsid w:val="002237D6"/>
    <w:rsid w:val="002244CF"/>
    <w:rsid w:val="00224935"/>
    <w:rsid w:val="00224C9B"/>
    <w:rsid w:val="00226F49"/>
    <w:rsid w:val="002316EC"/>
    <w:rsid w:val="002329FB"/>
    <w:rsid w:val="002333A0"/>
    <w:rsid w:val="00233889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22D2"/>
    <w:rsid w:val="00254F39"/>
    <w:rsid w:val="002557A6"/>
    <w:rsid w:val="0025777E"/>
    <w:rsid w:val="00257E0D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5E3A"/>
    <w:rsid w:val="00296069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A92"/>
    <w:rsid w:val="00346C3D"/>
    <w:rsid w:val="003476B0"/>
    <w:rsid w:val="00347F3C"/>
    <w:rsid w:val="00351646"/>
    <w:rsid w:val="003526C0"/>
    <w:rsid w:val="00353A1C"/>
    <w:rsid w:val="003543AA"/>
    <w:rsid w:val="00354F38"/>
    <w:rsid w:val="00355A3A"/>
    <w:rsid w:val="00356F46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3CE4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2D61"/>
    <w:rsid w:val="003D3FD5"/>
    <w:rsid w:val="003D51C4"/>
    <w:rsid w:val="003D7881"/>
    <w:rsid w:val="003D7FFA"/>
    <w:rsid w:val="003E0925"/>
    <w:rsid w:val="003E1265"/>
    <w:rsid w:val="003E1BE1"/>
    <w:rsid w:val="003E26A6"/>
    <w:rsid w:val="003E2DB6"/>
    <w:rsid w:val="003E35B8"/>
    <w:rsid w:val="003E42B0"/>
    <w:rsid w:val="003E4964"/>
    <w:rsid w:val="003E4E61"/>
    <w:rsid w:val="003E5FB2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1650B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71AD"/>
    <w:rsid w:val="0043763C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2013"/>
    <w:rsid w:val="00522439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A02"/>
    <w:rsid w:val="00591352"/>
    <w:rsid w:val="00591781"/>
    <w:rsid w:val="00591BB2"/>
    <w:rsid w:val="00591DA9"/>
    <w:rsid w:val="00592332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32D"/>
    <w:rsid w:val="005B181E"/>
    <w:rsid w:val="005B18B9"/>
    <w:rsid w:val="005B238D"/>
    <w:rsid w:val="005B489D"/>
    <w:rsid w:val="005B4B6A"/>
    <w:rsid w:val="005B6583"/>
    <w:rsid w:val="005C1295"/>
    <w:rsid w:val="005C1595"/>
    <w:rsid w:val="005C28B9"/>
    <w:rsid w:val="005C45D1"/>
    <w:rsid w:val="005C48B7"/>
    <w:rsid w:val="005C4EDC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6C2"/>
    <w:rsid w:val="00613BCE"/>
    <w:rsid w:val="00613D4E"/>
    <w:rsid w:val="006149D3"/>
    <w:rsid w:val="00614AD6"/>
    <w:rsid w:val="006153A4"/>
    <w:rsid w:val="006155D9"/>
    <w:rsid w:val="00616ACC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F23"/>
    <w:rsid w:val="00646B97"/>
    <w:rsid w:val="00646EC7"/>
    <w:rsid w:val="0064725C"/>
    <w:rsid w:val="0065179A"/>
    <w:rsid w:val="00651F8A"/>
    <w:rsid w:val="00652179"/>
    <w:rsid w:val="00653BB2"/>
    <w:rsid w:val="00654AA9"/>
    <w:rsid w:val="006557EA"/>
    <w:rsid w:val="00660CED"/>
    <w:rsid w:val="00660FB6"/>
    <w:rsid w:val="006627B6"/>
    <w:rsid w:val="00662965"/>
    <w:rsid w:val="00662F4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099D"/>
    <w:rsid w:val="00671C55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176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6C87"/>
    <w:rsid w:val="006B6EC7"/>
    <w:rsid w:val="006B7114"/>
    <w:rsid w:val="006B7F68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4299"/>
    <w:rsid w:val="0070513C"/>
    <w:rsid w:val="007053C0"/>
    <w:rsid w:val="007072D6"/>
    <w:rsid w:val="00711C31"/>
    <w:rsid w:val="00712D0F"/>
    <w:rsid w:val="00712D45"/>
    <w:rsid w:val="00713104"/>
    <w:rsid w:val="007131B3"/>
    <w:rsid w:val="00713AB4"/>
    <w:rsid w:val="00713AEE"/>
    <w:rsid w:val="0071537F"/>
    <w:rsid w:val="0071593E"/>
    <w:rsid w:val="00716157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6111"/>
    <w:rsid w:val="00766B7C"/>
    <w:rsid w:val="00767C37"/>
    <w:rsid w:val="007704F6"/>
    <w:rsid w:val="00771D78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084E"/>
    <w:rsid w:val="00831025"/>
    <w:rsid w:val="00831B35"/>
    <w:rsid w:val="008325EE"/>
    <w:rsid w:val="00832E2D"/>
    <w:rsid w:val="0083360A"/>
    <w:rsid w:val="00833CB0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900056"/>
    <w:rsid w:val="0090340B"/>
    <w:rsid w:val="00903675"/>
    <w:rsid w:val="00903EA2"/>
    <w:rsid w:val="009048DC"/>
    <w:rsid w:val="00904AA9"/>
    <w:rsid w:val="00904E49"/>
    <w:rsid w:val="00904EEF"/>
    <w:rsid w:val="00905310"/>
    <w:rsid w:val="00905323"/>
    <w:rsid w:val="00910012"/>
    <w:rsid w:val="009105FB"/>
    <w:rsid w:val="00911687"/>
    <w:rsid w:val="00911A77"/>
    <w:rsid w:val="00912740"/>
    <w:rsid w:val="009127AF"/>
    <w:rsid w:val="00913566"/>
    <w:rsid w:val="00913D6E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30EC7"/>
    <w:rsid w:val="00932046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A6B"/>
    <w:rsid w:val="009404BE"/>
    <w:rsid w:val="00941142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63A"/>
    <w:rsid w:val="009712D0"/>
    <w:rsid w:val="009712D9"/>
    <w:rsid w:val="00971566"/>
    <w:rsid w:val="0097166F"/>
    <w:rsid w:val="0097295C"/>
    <w:rsid w:val="0097347F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874CC"/>
    <w:rsid w:val="009903C7"/>
    <w:rsid w:val="00991EE3"/>
    <w:rsid w:val="00992F30"/>
    <w:rsid w:val="0099372E"/>
    <w:rsid w:val="00993798"/>
    <w:rsid w:val="00993EE9"/>
    <w:rsid w:val="009948DB"/>
    <w:rsid w:val="0099532A"/>
    <w:rsid w:val="00996590"/>
    <w:rsid w:val="009A0062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3855"/>
    <w:rsid w:val="009E40BC"/>
    <w:rsid w:val="009E56B3"/>
    <w:rsid w:val="009E6A91"/>
    <w:rsid w:val="009E7340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FD3"/>
    <w:rsid w:val="00A112B4"/>
    <w:rsid w:val="00A12D3E"/>
    <w:rsid w:val="00A13AC6"/>
    <w:rsid w:val="00A1445D"/>
    <w:rsid w:val="00A14ABE"/>
    <w:rsid w:val="00A155ED"/>
    <w:rsid w:val="00A1761E"/>
    <w:rsid w:val="00A17A18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C5C"/>
    <w:rsid w:val="00A63D7F"/>
    <w:rsid w:val="00A662A1"/>
    <w:rsid w:val="00A6748D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645B"/>
    <w:rsid w:val="00AE655C"/>
    <w:rsid w:val="00AE722B"/>
    <w:rsid w:val="00AF37D9"/>
    <w:rsid w:val="00AF3A8E"/>
    <w:rsid w:val="00AF6387"/>
    <w:rsid w:val="00AF649E"/>
    <w:rsid w:val="00B00F35"/>
    <w:rsid w:val="00B0122D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4DDB"/>
    <w:rsid w:val="00B15481"/>
    <w:rsid w:val="00B160FB"/>
    <w:rsid w:val="00B17D3A"/>
    <w:rsid w:val="00B20110"/>
    <w:rsid w:val="00B20270"/>
    <w:rsid w:val="00B21A0F"/>
    <w:rsid w:val="00B22EE0"/>
    <w:rsid w:val="00B23DB9"/>
    <w:rsid w:val="00B2479B"/>
    <w:rsid w:val="00B252AB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1277"/>
    <w:rsid w:val="00BF17CA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5ED6"/>
    <w:rsid w:val="00C271F1"/>
    <w:rsid w:val="00C2791F"/>
    <w:rsid w:val="00C312AD"/>
    <w:rsid w:val="00C31C09"/>
    <w:rsid w:val="00C33019"/>
    <w:rsid w:val="00C337DD"/>
    <w:rsid w:val="00C33908"/>
    <w:rsid w:val="00C35429"/>
    <w:rsid w:val="00C355D3"/>
    <w:rsid w:val="00C35AC3"/>
    <w:rsid w:val="00C4170C"/>
    <w:rsid w:val="00C4396B"/>
    <w:rsid w:val="00C45272"/>
    <w:rsid w:val="00C46093"/>
    <w:rsid w:val="00C464CE"/>
    <w:rsid w:val="00C4667E"/>
    <w:rsid w:val="00C46E8C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E1960"/>
    <w:rsid w:val="00CE1EB0"/>
    <w:rsid w:val="00CE3032"/>
    <w:rsid w:val="00CE4F82"/>
    <w:rsid w:val="00CE7806"/>
    <w:rsid w:val="00CF0E4B"/>
    <w:rsid w:val="00CF2030"/>
    <w:rsid w:val="00CF2C45"/>
    <w:rsid w:val="00CF4C45"/>
    <w:rsid w:val="00CF5586"/>
    <w:rsid w:val="00CF6ABF"/>
    <w:rsid w:val="00D01F85"/>
    <w:rsid w:val="00D02102"/>
    <w:rsid w:val="00D028E9"/>
    <w:rsid w:val="00D0375C"/>
    <w:rsid w:val="00D03923"/>
    <w:rsid w:val="00D04933"/>
    <w:rsid w:val="00D06091"/>
    <w:rsid w:val="00D1081D"/>
    <w:rsid w:val="00D1120D"/>
    <w:rsid w:val="00D117B9"/>
    <w:rsid w:val="00D11880"/>
    <w:rsid w:val="00D11D71"/>
    <w:rsid w:val="00D12714"/>
    <w:rsid w:val="00D12756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39B3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3F8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462"/>
    <w:rsid w:val="00DE37F2"/>
    <w:rsid w:val="00DE3810"/>
    <w:rsid w:val="00DE4408"/>
    <w:rsid w:val="00DE4427"/>
    <w:rsid w:val="00DE46F8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972"/>
    <w:rsid w:val="00E31911"/>
    <w:rsid w:val="00E319D2"/>
    <w:rsid w:val="00E32269"/>
    <w:rsid w:val="00E3322A"/>
    <w:rsid w:val="00E33BA0"/>
    <w:rsid w:val="00E34644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2867"/>
    <w:rsid w:val="00E52C65"/>
    <w:rsid w:val="00E53B3C"/>
    <w:rsid w:val="00E53F66"/>
    <w:rsid w:val="00E56ED2"/>
    <w:rsid w:val="00E579A9"/>
    <w:rsid w:val="00E57E98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B61"/>
    <w:rsid w:val="00EA353B"/>
    <w:rsid w:val="00EA3B43"/>
    <w:rsid w:val="00EA4EB1"/>
    <w:rsid w:val="00EA576E"/>
    <w:rsid w:val="00EA6F2B"/>
    <w:rsid w:val="00EB0A45"/>
    <w:rsid w:val="00EB0B1B"/>
    <w:rsid w:val="00EB42DE"/>
    <w:rsid w:val="00EB50FB"/>
    <w:rsid w:val="00EB5227"/>
    <w:rsid w:val="00EB6023"/>
    <w:rsid w:val="00EB7507"/>
    <w:rsid w:val="00EB76F3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04FB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3518"/>
    <w:rsid w:val="00F03D95"/>
    <w:rsid w:val="00F04072"/>
    <w:rsid w:val="00F07449"/>
    <w:rsid w:val="00F0787B"/>
    <w:rsid w:val="00F10106"/>
    <w:rsid w:val="00F10808"/>
    <w:rsid w:val="00F10E21"/>
    <w:rsid w:val="00F1436E"/>
    <w:rsid w:val="00F14DED"/>
    <w:rsid w:val="00F15A8C"/>
    <w:rsid w:val="00F15D54"/>
    <w:rsid w:val="00F165DF"/>
    <w:rsid w:val="00F16A9C"/>
    <w:rsid w:val="00F2219D"/>
    <w:rsid w:val="00F2295D"/>
    <w:rsid w:val="00F22D2F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C100C"/>
    <w:rsid w:val="00FC17AC"/>
    <w:rsid w:val="00FC1C9F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4710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DC31-9B04-4EEB-9E0A-E11BB914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2020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68</cp:revision>
  <cp:lastPrinted>2014-09-18T19:48:00Z</cp:lastPrinted>
  <dcterms:created xsi:type="dcterms:W3CDTF">2014-09-18T15:07:00Z</dcterms:created>
  <dcterms:modified xsi:type="dcterms:W3CDTF">2014-09-19T19:01:00Z</dcterms:modified>
</cp:coreProperties>
</file>