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57" w:rsidRDefault="00694B57">
      <w:r>
        <w:t>.</w:t>
      </w:r>
    </w:p>
    <w:tbl>
      <w:tblPr>
        <w:tblStyle w:val="Tabelacomgrade"/>
        <w:tblW w:w="6098" w:type="pct"/>
        <w:tblInd w:w="-743" w:type="dxa"/>
        <w:tblLook w:val="04A0" w:firstRow="1" w:lastRow="0" w:firstColumn="1" w:lastColumn="0" w:noHBand="0" w:noVBand="1"/>
      </w:tblPr>
      <w:tblGrid>
        <w:gridCol w:w="3686"/>
        <w:gridCol w:w="1629"/>
        <w:gridCol w:w="922"/>
        <w:gridCol w:w="3878"/>
      </w:tblGrid>
      <w:tr w:rsidR="003817BE" w:rsidRPr="00F50C5A" w:rsidTr="002244CF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3124EC">
            <w:pPr>
              <w:spacing w:line="360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B466F8">
              <w:rPr>
                <w:rFonts w:cs="Arial"/>
                <w:b/>
              </w:rPr>
              <w:t>52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2244CF">
        <w:tc>
          <w:tcPr>
            <w:tcW w:w="2627" w:type="pct"/>
            <w:gridSpan w:val="2"/>
          </w:tcPr>
          <w:p w:rsidR="003817BE" w:rsidRPr="00F50C5A" w:rsidRDefault="003817BE" w:rsidP="003124EC">
            <w:pPr>
              <w:spacing w:line="360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55781D" w:rsidRPr="00F50C5A">
              <w:rPr>
                <w:rFonts w:cs="Arial"/>
              </w:rPr>
              <w:t>Sala de Reuniões</w:t>
            </w:r>
            <w:r w:rsidR="005E0DB3" w:rsidRPr="00F50C5A">
              <w:rPr>
                <w:rFonts w:cs="Arial"/>
              </w:rPr>
              <w:t xml:space="preserve"> do 4</w:t>
            </w:r>
            <w:r w:rsidR="0022361A" w:rsidRPr="00F50C5A">
              <w:rPr>
                <w:rFonts w:cs="Arial"/>
              </w:rPr>
              <w:t xml:space="preserve">º </w:t>
            </w:r>
            <w:proofErr w:type="gramStart"/>
            <w:r w:rsidR="0022361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373" w:type="pct"/>
            <w:gridSpan w:val="2"/>
          </w:tcPr>
          <w:p w:rsidR="003817BE" w:rsidRPr="00F50C5A" w:rsidRDefault="003817BE" w:rsidP="00B466F8">
            <w:pPr>
              <w:tabs>
                <w:tab w:val="left" w:pos="2400"/>
              </w:tabs>
              <w:spacing w:line="360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B466F8">
              <w:rPr>
                <w:rFonts w:cs="Arial"/>
              </w:rPr>
              <w:t>03.10</w:t>
            </w:r>
            <w:r w:rsidR="00E255EC" w:rsidRPr="00F50C5A">
              <w:rPr>
                <w:rFonts w:cs="Arial"/>
              </w:rPr>
              <w:t>.13</w:t>
            </w:r>
            <w:r w:rsidR="00BB13C2" w:rsidRPr="00F50C5A">
              <w:rPr>
                <w:rFonts w:cs="Arial"/>
              </w:rPr>
              <w:tab/>
            </w:r>
          </w:p>
        </w:tc>
      </w:tr>
      <w:tr w:rsidR="00911A77" w:rsidRPr="00F50C5A" w:rsidTr="002244CF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F85127">
            <w:pPr>
              <w:spacing w:line="360" w:lineRule="auto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Conselheiros:</w:t>
            </w:r>
            <w:r w:rsidR="00D8014D" w:rsidRPr="00F50C5A">
              <w:rPr>
                <w:rFonts w:cs="Arial"/>
              </w:rPr>
              <w:t xml:space="preserve"> </w:t>
            </w:r>
            <w:r w:rsidR="00B466F8">
              <w:rPr>
                <w:rFonts w:cs="Arial"/>
              </w:rPr>
              <w:t xml:space="preserve">Carlos Eduardo Mesquita </w:t>
            </w:r>
            <w:proofErr w:type="spellStart"/>
            <w:r w:rsidR="00B466F8">
              <w:rPr>
                <w:rFonts w:cs="Arial"/>
              </w:rPr>
              <w:t>Pedone</w:t>
            </w:r>
            <w:proofErr w:type="spellEnd"/>
            <w:r w:rsidR="00B41813" w:rsidRPr="00F50C5A">
              <w:rPr>
                <w:rFonts w:cs="Arial"/>
              </w:rPr>
              <w:t>,</w:t>
            </w:r>
            <w:r w:rsidR="00136417" w:rsidRPr="00F50C5A">
              <w:rPr>
                <w:rFonts w:cs="Arial"/>
              </w:rPr>
              <w:t xml:space="preserve"> </w:t>
            </w:r>
            <w:r w:rsidR="00474339" w:rsidRPr="00F50C5A">
              <w:rPr>
                <w:rFonts w:cs="Arial"/>
              </w:rPr>
              <w:t>Maria Bernadete</w:t>
            </w:r>
            <w:r w:rsidR="00B83269" w:rsidRPr="00F50C5A">
              <w:rPr>
                <w:rFonts w:cs="Arial"/>
              </w:rPr>
              <w:t xml:space="preserve"> </w:t>
            </w:r>
            <w:proofErr w:type="spellStart"/>
            <w:r w:rsidR="00B83269" w:rsidRPr="00F50C5A">
              <w:rPr>
                <w:rFonts w:cs="Arial"/>
              </w:rPr>
              <w:t>Sinhorelli</w:t>
            </w:r>
            <w:proofErr w:type="spellEnd"/>
            <w:r w:rsidR="00571B8D" w:rsidRPr="00F50C5A">
              <w:rPr>
                <w:rFonts w:cs="Arial"/>
              </w:rPr>
              <w:t xml:space="preserve"> de Oliveira</w:t>
            </w:r>
            <w:r w:rsidR="00EE7CA3" w:rsidRPr="00F50C5A">
              <w:rPr>
                <w:rFonts w:cs="Arial"/>
              </w:rPr>
              <w:t>,</w:t>
            </w:r>
            <w:r w:rsidR="00CC4A4B" w:rsidRPr="00F50C5A">
              <w:rPr>
                <w:rFonts w:cs="Arial"/>
              </w:rPr>
              <w:t xml:space="preserve"> Rosana </w:t>
            </w:r>
            <w:proofErr w:type="spellStart"/>
            <w:r w:rsidR="00CC4A4B" w:rsidRPr="00F50C5A">
              <w:rPr>
                <w:rFonts w:cs="Arial"/>
              </w:rPr>
              <w:t>Oppitz</w:t>
            </w:r>
            <w:proofErr w:type="spellEnd"/>
            <w:r w:rsidR="00CC4A4B" w:rsidRPr="00F50C5A">
              <w:rPr>
                <w:rFonts w:cs="Arial"/>
              </w:rPr>
              <w:t>,</w:t>
            </w:r>
            <w:r w:rsidR="00D7336A">
              <w:rPr>
                <w:rFonts w:cs="Arial"/>
              </w:rPr>
              <w:t xml:space="preserve"> Clarissa Monteiro </w:t>
            </w:r>
            <w:proofErr w:type="spellStart"/>
            <w:r w:rsidR="00D7336A">
              <w:rPr>
                <w:rFonts w:cs="Arial"/>
              </w:rPr>
              <w:t>Berny</w:t>
            </w:r>
            <w:proofErr w:type="spellEnd"/>
            <w:r w:rsidR="00D7336A">
              <w:rPr>
                <w:rFonts w:cs="Arial"/>
              </w:rPr>
              <w:t>,</w:t>
            </w:r>
            <w:r w:rsidR="00CC4A4B" w:rsidRPr="00F50C5A">
              <w:rPr>
                <w:rFonts w:cs="Arial"/>
              </w:rPr>
              <w:t xml:space="preserve"> </w:t>
            </w:r>
            <w:r w:rsidR="004352DB" w:rsidRPr="00F50C5A">
              <w:rPr>
                <w:rFonts w:cs="Arial"/>
              </w:rPr>
              <w:t>Ass</w:t>
            </w:r>
            <w:r w:rsidR="00F85127">
              <w:rPr>
                <w:rFonts w:cs="Arial"/>
              </w:rPr>
              <w:t>essora</w:t>
            </w:r>
            <w:r w:rsidR="00050496" w:rsidRPr="00F50C5A">
              <w:rPr>
                <w:rFonts w:cs="Arial"/>
              </w:rPr>
              <w:t xml:space="preserve"> Técnica</w:t>
            </w:r>
            <w:r w:rsidR="009404BE" w:rsidRPr="00F50C5A">
              <w:rPr>
                <w:rFonts w:cs="Arial"/>
              </w:rPr>
              <w:t xml:space="preserve"> </w:t>
            </w:r>
            <w:r w:rsidR="00A25C67" w:rsidRPr="00F50C5A">
              <w:rPr>
                <w:rFonts w:cs="Arial"/>
              </w:rPr>
              <w:t>Suzana Rosa,</w:t>
            </w:r>
            <w:r w:rsidR="007A6BB4" w:rsidRPr="00F50C5A">
              <w:rPr>
                <w:rFonts w:cs="Arial"/>
              </w:rPr>
              <w:t xml:space="preserve"> </w:t>
            </w:r>
            <w:r w:rsidR="00B466F8">
              <w:rPr>
                <w:rFonts w:cs="Arial"/>
              </w:rPr>
              <w:t>Ass</w:t>
            </w:r>
            <w:r w:rsidR="00F85127">
              <w:rPr>
                <w:rFonts w:cs="Arial"/>
              </w:rPr>
              <w:t xml:space="preserve">essora </w:t>
            </w:r>
            <w:r w:rsidR="00B466F8">
              <w:rPr>
                <w:rFonts w:cs="Arial"/>
              </w:rPr>
              <w:t xml:space="preserve">Técnica Maríndia Girardello, Ass. Fiscalização Alessandra </w:t>
            </w:r>
            <w:proofErr w:type="spellStart"/>
            <w:r w:rsidR="00B466F8">
              <w:rPr>
                <w:rFonts w:cs="Arial"/>
              </w:rPr>
              <w:t>Scalco</w:t>
            </w:r>
            <w:r w:rsidR="00D7336A">
              <w:rPr>
                <w:rFonts w:cs="Arial"/>
              </w:rPr>
              <w:t>n</w:t>
            </w:r>
            <w:proofErr w:type="spellEnd"/>
            <w:r w:rsidR="00B466F8">
              <w:rPr>
                <w:rFonts w:cs="Arial"/>
              </w:rPr>
              <w:t xml:space="preserve">, Ag.  Fiscalização Aline Garcia Silva, Ag.  Fiscalização Rogério Pinto Dias de Oliveira, Ag.  Fiscalização Antônio César Cassol da Rocha, </w:t>
            </w:r>
            <w:r w:rsidR="00CC4A4B" w:rsidRPr="00F50C5A">
              <w:rPr>
                <w:rFonts w:cs="Arial"/>
              </w:rPr>
              <w:t xml:space="preserve">Ass. </w:t>
            </w:r>
            <w:r w:rsidR="007A6BB4" w:rsidRPr="00F50C5A">
              <w:rPr>
                <w:rFonts w:cs="Arial"/>
              </w:rPr>
              <w:t xml:space="preserve">Jurídica Letícia </w:t>
            </w:r>
            <w:proofErr w:type="spellStart"/>
            <w:r w:rsidR="007A6BB4" w:rsidRPr="00F50C5A">
              <w:rPr>
                <w:rFonts w:cs="Arial"/>
              </w:rPr>
              <w:t>Filgueras</w:t>
            </w:r>
            <w:proofErr w:type="spellEnd"/>
            <w:r w:rsidR="007A6BB4" w:rsidRPr="00F50C5A">
              <w:rPr>
                <w:rFonts w:cs="Arial"/>
              </w:rPr>
              <w:t>,</w:t>
            </w:r>
            <w:r w:rsidR="00A25C67" w:rsidRPr="00F50C5A">
              <w:rPr>
                <w:rFonts w:cs="Arial"/>
              </w:rPr>
              <w:t xml:space="preserve"> </w:t>
            </w:r>
            <w:r w:rsidR="004B7DA2">
              <w:rPr>
                <w:rFonts w:cs="Arial"/>
              </w:rPr>
              <w:t xml:space="preserve">Ass. Jurídico Filipe </w:t>
            </w:r>
            <w:proofErr w:type="spellStart"/>
            <w:r w:rsidR="004B7DA2">
              <w:rPr>
                <w:rFonts w:cs="Arial"/>
              </w:rPr>
              <w:t>Diffini</w:t>
            </w:r>
            <w:proofErr w:type="spellEnd"/>
            <w:r w:rsidR="004B7DA2">
              <w:rPr>
                <w:rFonts w:cs="Arial"/>
              </w:rPr>
              <w:t xml:space="preserve"> Santana Maria, </w:t>
            </w:r>
            <w:r w:rsidR="00136417" w:rsidRPr="00F50C5A">
              <w:rPr>
                <w:rFonts w:cs="Arial"/>
              </w:rPr>
              <w:t xml:space="preserve">Secretário </w:t>
            </w:r>
            <w:r w:rsidR="007131B3" w:rsidRPr="00F50C5A">
              <w:rPr>
                <w:rFonts w:cs="Arial"/>
              </w:rPr>
              <w:t xml:space="preserve">Sérgio Gré Jr. </w:t>
            </w:r>
          </w:p>
        </w:tc>
      </w:tr>
      <w:tr w:rsidR="003817BE" w:rsidRPr="00F50C5A" w:rsidTr="002244CF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3124EC">
            <w:pPr>
              <w:spacing w:line="360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817BE" w:rsidRPr="00F50C5A" w:rsidTr="002244CF">
        <w:trPr>
          <w:trHeight w:val="183"/>
        </w:trPr>
        <w:tc>
          <w:tcPr>
            <w:tcW w:w="5000" w:type="pct"/>
            <w:gridSpan w:val="4"/>
            <w:shd w:val="clear" w:color="auto" w:fill="FFC000"/>
          </w:tcPr>
          <w:p w:rsidR="003817BE" w:rsidRPr="00F50C5A" w:rsidRDefault="00B53794" w:rsidP="00B466F8">
            <w:pPr>
              <w:spacing w:line="360" w:lineRule="auto"/>
              <w:jc w:val="both"/>
              <w:rPr>
                <w:b/>
              </w:rPr>
            </w:pPr>
            <w:r w:rsidRPr="00F50C5A">
              <w:rPr>
                <w:rFonts w:cs="Arial"/>
                <w:b/>
              </w:rPr>
              <w:t xml:space="preserve">1. </w:t>
            </w:r>
            <w:r w:rsidR="00BC525E" w:rsidRPr="00F50C5A">
              <w:rPr>
                <w:rFonts w:cs="Arial"/>
                <w:b/>
              </w:rPr>
              <w:t>Aprovação da</w:t>
            </w:r>
            <w:r w:rsidR="009404BE" w:rsidRPr="00F50C5A">
              <w:rPr>
                <w:rFonts w:cs="Arial"/>
                <w:b/>
              </w:rPr>
              <w:t xml:space="preserve"> Súmula</w:t>
            </w:r>
            <w:r w:rsidR="00BC525E" w:rsidRPr="00F50C5A">
              <w:rPr>
                <w:rFonts w:cs="Arial"/>
                <w:b/>
              </w:rPr>
              <w:t xml:space="preserve"> da</w:t>
            </w:r>
            <w:r w:rsidR="003F1FFA">
              <w:rPr>
                <w:rFonts w:cs="Arial"/>
                <w:b/>
              </w:rPr>
              <w:t xml:space="preserve"> 5</w:t>
            </w:r>
            <w:r w:rsidR="00092069">
              <w:rPr>
                <w:rFonts w:cs="Arial"/>
                <w:b/>
              </w:rPr>
              <w:t>1</w:t>
            </w:r>
            <w:r w:rsidR="00BC525E" w:rsidRPr="00F50C5A">
              <w:rPr>
                <w:rFonts w:cs="Arial"/>
                <w:b/>
              </w:rPr>
              <w:t xml:space="preserve">ª Reunião da Comissão de </w:t>
            </w:r>
            <w:r w:rsidR="00050496" w:rsidRPr="00F50C5A">
              <w:rPr>
                <w:rFonts w:cs="Arial"/>
                <w:b/>
              </w:rPr>
              <w:t xml:space="preserve">Exercício Profissional </w:t>
            </w:r>
          </w:p>
        </w:tc>
      </w:tr>
      <w:tr w:rsidR="00EE7CA3" w:rsidRPr="00F50C5A" w:rsidTr="002244CF">
        <w:tc>
          <w:tcPr>
            <w:tcW w:w="5000" w:type="pct"/>
            <w:gridSpan w:val="4"/>
            <w:shd w:val="clear" w:color="auto" w:fill="FFFFFF" w:themeFill="background1"/>
          </w:tcPr>
          <w:p w:rsidR="00EE7CA3" w:rsidRPr="00F50C5A" w:rsidRDefault="003F1FFA" w:rsidP="003124EC">
            <w:pPr>
              <w:spacing w:line="36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 Súmula da 5</w:t>
            </w:r>
            <w:r w:rsidR="006C2228">
              <w:rPr>
                <w:rFonts w:eastAsia="Times New Roman"/>
                <w:color w:val="000000"/>
              </w:rPr>
              <w:t>1</w:t>
            </w:r>
            <w:r w:rsidR="00575078" w:rsidRPr="00F50C5A">
              <w:rPr>
                <w:rFonts w:eastAsia="Times New Roman"/>
                <w:color w:val="000000"/>
              </w:rPr>
              <w:t>ª Reunião da CEP/RS foi aprovada</w:t>
            </w:r>
            <w:r w:rsidR="00936A6B" w:rsidRPr="00F50C5A">
              <w:rPr>
                <w:rFonts w:eastAsia="Times New Roman"/>
                <w:color w:val="000000"/>
              </w:rPr>
              <w:t>.</w:t>
            </w:r>
          </w:p>
          <w:p w:rsidR="006136C2" w:rsidRPr="00F50C5A" w:rsidRDefault="006136C2" w:rsidP="003124EC">
            <w:pPr>
              <w:spacing w:line="360" w:lineRule="auto"/>
              <w:jc w:val="both"/>
              <w:rPr>
                <w:rFonts w:cs="Arial"/>
              </w:rPr>
            </w:pPr>
          </w:p>
        </w:tc>
      </w:tr>
      <w:tr w:rsidR="00A10FD3" w:rsidRPr="00F50C5A" w:rsidTr="002244CF">
        <w:tc>
          <w:tcPr>
            <w:tcW w:w="5000" w:type="pct"/>
            <w:gridSpan w:val="4"/>
            <w:shd w:val="clear" w:color="auto" w:fill="FFC000"/>
            <w:vAlign w:val="center"/>
          </w:tcPr>
          <w:p w:rsidR="00A10FD3" w:rsidRPr="00F50C5A" w:rsidRDefault="00B60743" w:rsidP="003124EC">
            <w:pPr>
              <w:spacing w:line="360" w:lineRule="auto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2. </w:t>
            </w:r>
            <w:r w:rsidR="004352DB" w:rsidRPr="00F50C5A">
              <w:rPr>
                <w:rFonts w:cs="Arial"/>
                <w:b/>
              </w:rPr>
              <w:t>Processos de RRT</w:t>
            </w:r>
          </w:p>
        </w:tc>
      </w:tr>
      <w:tr w:rsidR="00C8725A" w:rsidRPr="00F13EBD" w:rsidTr="00C8725A">
        <w:trPr>
          <w:trHeight w:val="138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D5FE4" w:rsidRPr="00B051BB" w:rsidRDefault="000D5FE4" w:rsidP="000D5FE4">
            <w:pPr>
              <w:pStyle w:val="SemEspaamento"/>
              <w:spacing w:line="360" w:lineRule="auto"/>
            </w:pPr>
            <w:r w:rsidRPr="00B051BB">
              <w:t xml:space="preserve">A Comissão deliberou </w:t>
            </w:r>
            <w:r w:rsidR="00F85127">
              <w:t xml:space="preserve">sobre </w:t>
            </w:r>
            <w:r w:rsidRPr="00B051BB">
              <w:t xml:space="preserve">os seguintes processos: </w:t>
            </w:r>
          </w:p>
          <w:p w:rsidR="000D5FE4" w:rsidRPr="003F1FFA" w:rsidRDefault="000D5FE4" w:rsidP="000D5FE4">
            <w:pPr>
              <w:pStyle w:val="SemEspaamento"/>
              <w:spacing w:line="360" w:lineRule="auto"/>
              <w:rPr>
                <w:b/>
                <w:lang w:val="en-US"/>
              </w:rPr>
            </w:pPr>
            <w:proofErr w:type="spellStart"/>
            <w:r w:rsidRPr="003F1FFA">
              <w:rPr>
                <w:b/>
                <w:lang w:val="en-US"/>
              </w:rPr>
              <w:t>Cancelamento</w:t>
            </w:r>
            <w:proofErr w:type="spellEnd"/>
            <w:r w:rsidRPr="003F1FFA">
              <w:rPr>
                <w:b/>
                <w:lang w:val="en-US"/>
              </w:rPr>
              <w:t xml:space="preserve">: </w:t>
            </w:r>
          </w:p>
          <w:p w:rsidR="000D5FE4" w:rsidRPr="00E32269" w:rsidRDefault="000D5FE4" w:rsidP="000D5FE4">
            <w:pPr>
              <w:pStyle w:val="SemEspaamento"/>
              <w:spacing w:line="360" w:lineRule="auto"/>
              <w:rPr>
                <w:lang w:val="en-US"/>
              </w:rPr>
            </w:pPr>
            <w:r w:rsidRPr="00E32269">
              <w:rPr>
                <w:lang w:val="en-US"/>
              </w:rPr>
              <w:t xml:space="preserve">Proc. </w:t>
            </w:r>
            <w:r>
              <w:rPr>
                <w:lang w:val="en-US"/>
              </w:rPr>
              <w:t>84645</w:t>
            </w:r>
            <w:r w:rsidRPr="00E32269">
              <w:rPr>
                <w:lang w:val="en-US"/>
              </w:rPr>
              <w:t xml:space="preserve">/2013 </w:t>
            </w:r>
            <w:r>
              <w:rPr>
                <w:lang w:val="en-US"/>
              </w:rPr>
              <w:t>–</w:t>
            </w:r>
            <w:r w:rsidRPr="00E32269">
              <w:rPr>
                <w:lang w:val="en-US"/>
              </w:rPr>
              <w:t xml:space="preserve"> </w:t>
            </w:r>
            <w:r>
              <w:rPr>
                <w:lang w:val="en-US"/>
              </w:rPr>
              <w:t>RRT 1468020</w:t>
            </w:r>
          </w:p>
          <w:p w:rsidR="000D5FE4" w:rsidRPr="00E32269" w:rsidRDefault="000D5FE4" w:rsidP="000D5FE4">
            <w:pPr>
              <w:pStyle w:val="SemEspaamento"/>
              <w:spacing w:line="360" w:lineRule="auto"/>
              <w:rPr>
                <w:lang w:val="en-US"/>
              </w:rPr>
            </w:pPr>
            <w:r w:rsidRPr="00E32269">
              <w:rPr>
                <w:lang w:val="en-US"/>
              </w:rPr>
              <w:t>Proc.</w:t>
            </w:r>
            <w:r>
              <w:rPr>
                <w:lang w:val="en-US"/>
              </w:rPr>
              <w:t xml:space="preserve"> 84890</w:t>
            </w:r>
            <w:r w:rsidRPr="00E32269">
              <w:rPr>
                <w:lang w:val="en-US"/>
              </w:rPr>
              <w:t xml:space="preserve">/2013 </w:t>
            </w:r>
            <w:r>
              <w:rPr>
                <w:lang w:val="en-US"/>
              </w:rPr>
              <w:t>–</w:t>
            </w:r>
            <w:r w:rsidRPr="00E32269">
              <w:rPr>
                <w:lang w:val="en-US"/>
              </w:rPr>
              <w:t xml:space="preserve"> RRT</w:t>
            </w:r>
            <w:r>
              <w:rPr>
                <w:lang w:val="en-US"/>
              </w:rPr>
              <w:t xml:space="preserve"> 909248/ 909363</w:t>
            </w:r>
          </w:p>
          <w:p w:rsidR="000D5FE4" w:rsidRPr="003F1FFA" w:rsidRDefault="000D5FE4" w:rsidP="000D5FE4">
            <w:pPr>
              <w:pStyle w:val="SemEspaamento"/>
              <w:spacing w:line="360" w:lineRule="auto"/>
              <w:rPr>
                <w:lang w:val="en-US"/>
              </w:rPr>
            </w:pPr>
            <w:r w:rsidRPr="003F1FFA">
              <w:rPr>
                <w:lang w:val="en-US"/>
              </w:rPr>
              <w:t xml:space="preserve">Proc. </w:t>
            </w:r>
            <w:r>
              <w:rPr>
                <w:lang w:val="en-US"/>
              </w:rPr>
              <w:t>85149/2013 – RRT 737316</w:t>
            </w:r>
          </w:p>
          <w:p w:rsidR="000D5FE4" w:rsidRPr="008458B5" w:rsidRDefault="000D5FE4" w:rsidP="000D5FE4">
            <w:pPr>
              <w:pStyle w:val="SemEspaamento"/>
              <w:spacing w:line="360" w:lineRule="auto"/>
              <w:rPr>
                <w:lang w:val="en-US"/>
              </w:rPr>
            </w:pPr>
            <w:r w:rsidRPr="008458B5">
              <w:rPr>
                <w:lang w:val="en-US"/>
              </w:rPr>
              <w:t>Proc. 85416/2013 – RRT 572057</w:t>
            </w:r>
          </w:p>
          <w:p w:rsidR="000D5FE4" w:rsidRPr="000D5FE4" w:rsidRDefault="000D5FE4" w:rsidP="000D5FE4">
            <w:pPr>
              <w:pStyle w:val="SemEspaamento"/>
              <w:spacing w:line="360" w:lineRule="auto"/>
            </w:pPr>
            <w:r w:rsidRPr="000D5FE4">
              <w:t>Proc. 85569/2013 – RRT 1364214</w:t>
            </w:r>
          </w:p>
          <w:p w:rsidR="000D5FE4" w:rsidRPr="000D5FE4" w:rsidRDefault="000D5FE4" w:rsidP="000D5FE4">
            <w:pPr>
              <w:pStyle w:val="SemEspaamento"/>
              <w:spacing w:line="360" w:lineRule="auto"/>
              <w:rPr>
                <w:b/>
              </w:rPr>
            </w:pPr>
            <w:r w:rsidRPr="000D5FE4">
              <w:rPr>
                <w:b/>
              </w:rPr>
              <w:t>Extemporâneo</w:t>
            </w:r>
          </w:p>
          <w:p w:rsidR="000D5FE4" w:rsidRPr="00D9698F" w:rsidRDefault="000D5FE4" w:rsidP="000D5FE4">
            <w:pPr>
              <w:pStyle w:val="SemEspaamento"/>
              <w:spacing w:line="360" w:lineRule="auto"/>
            </w:pPr>
            <w:r w:rsidRPr="00D9698F">
              <w:t xml:space="preserve">Proc. </w:t>
            </w:r>
            <w:r>
              <w:t>84410</w:t>
            </w:r>
            <w:r w:rsidRPr="00D9698F">
              <w:t xml:space="preserve">/2013 </w:t>
            </w:r>
            <w:r>
              <w:t>–</w:t>
            </w:r>
            <w:r w:rsidRPr="00D9698F">
              <w:t xml:space="preserve"> RRT</w:t>
            </w:r>
            <w:r>
              <w:t xml:space="preserve"> 159608/ 1590893</w:t>
            </w:r>
            <w:r w:rsidRPr="00D9698F">
              <w:t xml:space="preserve"> </w:t>
            </w:r>
          </w:p>
          <w:p w:rsidR="000D5FE4" w:rsidRPr="008458B5" w:rsidRDefault="000D5FE4" w:rsidP="000D5FE4">
            <w:pPr>
              <w:pStyle w:val="SemEspaamento"/>
              <w:spacing w:line="360" w:lineRule="auto"/>
              <w:rPr>
                <w:lang w:val="en-US"/>
              </w:rPr>
            </w:pPr>
            <w:r w:rsidRPr="008458B5">
              <w:rPr>
                <w:lang w:val="en-US"/>
              </w:rPr>
              <w:t>Proc. 84427/2013 – RRT 1596171/ 1591028</w:t>
            </w:r>
          </w:p>
          <w:p w:rsidR="00C8725A" w:rsidRPr="008458B5" w:rsidRDefault="000D5FE4" w:rsidP="000D5FE4">
            <w:pPr>
              <w:pStyle w:val="SemEspaamento"/>
              <w:spacing w:line="360" w:lineRule="auto"/>
              <w:rPr>
                <w:lang w:val="en-US"/>
              </w:rPr>
            </w:pPr>
            <w:r w:rsidRPr="008458B5">
              <w:rPr>
                <w:lang w:val="en-US"/>
              </w:rPr>
              <w:t>Proc. 84437/2013 – RRT 1596106/ 1591123</w:t>
            </w:r>
          </w:p>
          <w:p w:rsidR="000D5FE4" w:rsidRPr="008458B5" w:rsidRDefault="000D5FE4" w:rsidP="000D5FE4">
            <w:pPr>
              <w:pStyle w:val="SemEspaamento"/>
              <w:spacing w:line="360" w:lineRule="auto"/>
              <w:rPr>
                <w:lang w:val="en-US"/>
              </w:rPr>
            </w:pPr>
            <w:r w:rsidRPr="008458B5">
              <w:rPr>
                <w:lang w:val="en-US"/>
              </w:rPr>
              <w:t>Proc. 84819/2013 – RRT 1471492</w:t>
            </w:r>
          </w:p>
          <w:p w:rsidR="000D5FE4" w:rsidRPr="008458B5" w:rsidRDefault="000D5FE4" w:rsidP="000D5FE4">
            <w:pPr>
              <w:pStyle w:val="SemEspaamento"/>
              <w:spacing w:line="360" w:lineRule="auto"/>
              <w:rPr>
                <w:lang w:val="en-US"/>
              </w:rPr>
            </w:pPr>
          </w:p>
        </w:tc>
      </w:tr>
      <w:tr w:rsidR="00C8725A" w:rsidRPr="00B051BB" w:rsidTr="006C537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8725A" w:rsidRPr="00B051BB" w:rsidRDefault="00C8725A" w:rsidP="00C8725A">
            <w:pPr>
              <w:spacing w:line="360" w:lineRule="auto"/>
              <w:jc w:val="both"/>
              <w:rPr>
                <w:rFonts w:cs="Arial"/>
                <w:b/>
              </w:rPr>
            </w:pPr>
            <w:r w:rsidRPr="00B051BB">
              <w:rPr>
                <w:rFonts w:cs="Arial"/>
                <w:b/>
              </w:rPr>
              <w:t>3.  P</w:t>
            </w:r>
            <w:r>
              <w:rPr>
                <w:rFonts w:cs="Arial"/>
                <w:b/>
              </w:rPr>
              <w:t xml:space="preserve">alestra </w:t>
            </w:r>
            <w:proofErr w:type="spellStart"/>
            <w:r>
              <w:rPr>
                <w:rFonts w:cs="Arial"/>
                <w:b/>
              </w:rPr>
              <w:t>Microestacas</w:t>
            </w:r>
            <w:proofErr w:type="spellEnd"/>
            <w:r>
              <w:rPr>
                <w:rFonts w:cs="Arial"/>
                <w:b/>
              </w:rPr>
              <w:t xml:space="preserve"> – Arquiteto Eduardo </w:t>
            </w:r>
            <w:proofErr w:type="spellStart"/>
            <w:r>
              <w:rPr>
                <w:rFonts w:cs="Arial"/>
                <w:b/>
              </w:rPr>
              <w:t>Pazin</w:t>
            </w:r>
            <w:proofErr w:type="spellEnd"/>
          </w:p>
        </w:tc>
      </w:tr>
      <w:tr w:rsidR="00A10FD3" w:rsidRPr="00F50C5A" w:rsidTr="002244CF"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0B423E" w:rsidRDefault="000B423E" w:rsidP="000B423E">
            <w:pPr>
              <w:jc w:val="both"/>
              <w:rPr>
                <w:rFonts w:cs="Arial"/>
              </w:rPr>
            </w:pPr>
            <w:r w:rsidRPr="000B423E">
              <w:rPr>
                <w:rFonts w:cs="Arial"/>
              </w:rPr>
              <w:t xml:space="preserve">Considerando os seguintes aspectos: </w:t>
            </w:r>
          </w:p>
          <w:p w:rsidR="0042645A" w:rsidRDefault="0042645A" w:rsidP="000B423E">
            <w:pPr>
              <w:jc w:val="both"/>
              <w:rPr>
                <w:rFonts w:cs="Arial"/>
              </w:rPr>
            </w:pPr>
          </w:p>
          <w:p w:rsidR="0042645A" w:rsidRDefault="000B423E" w:rsidP="000B423E">
            <w:pPr>
              <w:jc w:val="both"/>
              <w:rPr>
                <w:rFonts w:cs="Arial"/>
              </w:rPr>
            </w:pPr>
            <w:r w:rsidRPr="000B423E">
              <w:rPr>
                <w:rFonts w:cs="Arial"/>
              </w:rPr>
              <w:t xml:space="preserve">a) que os campos de atuação para o exercício da Arquitetura e Urbanismo são definidos a partir das diretrizes curriculares nacionais que dispõem sobre a formação do profissional Arquiteto e Urbanista, nas quais os núcleos de conhecimentos profissionais caracterizam a unidade de atuação profissional; </w:t>
            </w:r>
          </w:p>
          <w:p w:rsidR="0042645A" w:rsidRDefault="0042645A" w:rsidP="000B423E">
            <w:pPr>
              <w:jc w:val="both"/>
              <w:rPr>
                <w:rFonts w:cs="Arial"/>
              </w:rPr>
            </w:pPr>
          </w:p>
          <w:p w:rsidR="0042645A" w:rsidRDefault="000B423E" w:rsidP="000B423E">
            <w:pPr>
              <w:jc w:val="both"/>
              <w:rPr>
                <w:rFonts w:cs="Arial"/>
              </w:rPr>
            </w:pPr>
            <w:r w:rsidRPr="000B423E">
              <w:rPr>
                <w:rFonts w:cs="Arial"/>
              </w:rPr>
              <w:t xml:space="preserve">b) a Portaria Normativa do CAU/BR nº 13, de 31 de </w:t>
            </w:r>
            <w:r w:rsidR="00F13EBD">
              <w:rPr>
                <w:rFonts w:cs="Arial"/>
              </w:rPr>
              <w:t>janeiro</w:t>
            </w:r>
            <w:bookmarkStart w:id="0" w:name="_GoBack"/>
            <w:bookmarkEnd w:id="0"/>
            <w:r w:rsidRPr="000B423E">
              <w:rPr>
                <w:rFonts w:cs="Arial"/>
              </w:rPr>
              <w:t xml:space="preserve"> de 2013, no tocante às fundações, estabeleceu que o Arquiteto e Urbanista </w:t>
            </w:r>
            <w:proofErr w:type="gramStart"/>
            <w:r w:rsidRPr="000B423E">
              <w:rPr>
                <w:rFonts w:cs="Arial"/>
              </w:rPr>
              <w:t>possui</w:t>
            </w:r>
            <w:proofErr w:type="gramEnd"/>
            <w:r w:rsidRPr="000B423E">
              <w:rPr>
                <w:rFonts w:cs="Arial"/>
              </w:rPr>
              <w:t xml:space="preserve"> atribuições para projetar e se responsabilizar pela execução somente  de fundações diretas e superficiais; </w:t>
            </w:r>
          </w:p>
          <w:p w:rsidR="0042645A" w:rsidRDefault="0042645A" w:rsidP="000B423E">
            <w:pPr>
              <w:jc w:val="both"/>
              <w:rPr>
                <w:rFonts w:cs="Arial"/>
              </w:rPr>
            </w:pPr>
          </w:p>
          <w:p w:rsidR="0042645A" w:rsidRDefault="000B423E" w:rsidP="000B423E">
            <w:pPr>
              <w:jc w:val="both"/>
              <w:rPr>
                <w:rFonts w:cs="Arial"/>
              </w:rPr>
            </w:pPr>
            <w:r w:rsidRPr="000B423E">
              <w:rPr>
                <w:rFonts w:cs="Arial"/>
              </w:rPr>
              <w:t>c) a NBR 61622 – Projeto e Execução de Fundações</w:t>
            </w:r>
            <w:proofErr w:type="gramStart"/>
            <w:r w:rsidRPr="000B423E">
              <w:rPr>
                <w:rFonts w:cs="Arial"/>
              </w:rPr>
              <w:t>, define</w:t>
            </w:r>
            <w:proofErr w:type="gramEnd"/>
            <w:r w:rsidRPr="000B423E">
              <w:rPr>
                <w:rFonts w:cs="Arial"/>
              </w:rPr>
              <w:t xml:space="preserve"> que as fundações profundas, estacas, </w:t>
            </w:r>
            <w:proofErr w:type="spellStart"/>
            <w:r w:rsidRPr="000B423E">
              <w:rPr>
                <w:rFonts w:cs="Arial"/>
              </w:rPr>
              <w:t>tubulões</w:t>
            </w:r>
            <w:proofErr w:type="spellEnd"/>
            <w:r w:rsidRPr="000B423E">
              <w:rPr>
                <w:rFonts w:cs="Arial"/>
              </w:rPr>
              <w:t xml:space="preserve"> ou caixões terão profundidade no mínimo de 3,00 m, salvo justificativa; </w:t>
            </w:r>
          </w:p>
          <w:p w:rsidR="0042645A" w:rsidRDefault="0042645A" w:rsidP="000B423E">
            <w:pPr>
              <w:jc w:val="both"/>
              <w:rPr>
                <w:rFonts w:cs="Arial"/>
              </w:rPr>
            </w:pPr>
          </w:p>
          <w:p w:rsidR="0042645A" w:rsidRDefault="000B423E" w:rsidP="000B423E">
            <w:pPr>
              <w:jc w:val="both"/>
              <w:rPr>
                <w:rFonts w:cs="Arial"/>
              </w:rPr>
            </w:pPr>
            <w:r w:rsidRPr="000B423E">
              <w:rPr>
                <w:rFonts w:cs="Arial"/>
              </w:rPr>
              <w:t xml:space="preserve">d) a </w:t>
            </w:r>
            <w:proofErr w:type="spellStart"/>
            <w:r w:rsidRPr="000B423E">
              <w:rPr>
                <w:rFonts w:cs="Arial"/>
              </w:rPr>
              <w:t>microestaca</w:t>
            </w:r>
            <w:proofErr w:type="spellEnd"/>
            <w:r w:rsidRPr="000B423E">
              <w:rPr>
                <w:rFonts w:cs="Arial"/>
              </w:rPr>
              <w:t xml:space="preserve"> quase não é utilizada nos demais Estados do Brasil. </w:t>
            </w:r>
          </w:p>
          <w:p w:rsidR="0042645A" w:rsidRDefault="0042645A" w:rsidP="000B423E">
            <w:pPr>
              <w:jc w:val="both"/>
              <w:rPr>
                <w:rFonts w:cs="Arial"/>
              </w:rPr>
            </w:pPr>
          </w:p>
          <w:p w:rsidR="000B423E" w:rsidRPr="000B423E" w:rsidRDefault="000B423E" w:rsidP="0042645A">
            <w:pPr>
              <w:spacing w:line="360" w:lineRule="auto"/>
              <w:jc w:val="both"/>
              <w:rPr>
                <w:rFonts w:cs="Arial"/>
              </w:rPr>
            </w:pPr>
            <w:r w:rsidRPr="000B423E">
              <w:rPr>
                <w:rFonts w:cs="Arial"/>
              </w:rPr>
              <w:lastRenderedPageBreak/>
              <w:t xml:space="preserve">A Comissão de Exercício Profissional do CAU/RS – CEP/RS decidiu tomar a iniciativa de analisar a questão com mais profundidade a fim de encaminhar ao CAU/BR uma proposta de definição para o caso. Com este intuito a CEP convidou o filho do inventor </w:t>
            </w:r>
            <w:proofErr w:type="gramStart"/>
            <w:r w:rsidRPr="000B423E">
              <w:rPr>
                <w:rFonts w:cs="Arial"/>
              </w:rPr>
              <w:t>da micro</w:t>
            </w:r>
            <w:proofErr w:type="gramEnd"/>
            <w:r w:rsidRPr="000B423E">
              <w:rPr>
                <w:rFonts w:cs="Arial"/>
              </w:rPr>
              <w:t xml:space="preserve"> estaca, Arq. Eduardo </w:t>
            </w:r>
            <w:r w:rsidR="001135D5">
              <w:rPr>
                <w:rFonts w:cs="Arial"/>
              </w:rPr>
              <w:t xml:space="preserve">Silveira </w:t>
            </w:r>
            <w:proofErr w:type="spellStart"/>
            <w:r w:rsidRPr="000B423E">
              <w:rPr>
                <w:rFonts w:cs="Arial"/>
              </w:rPr>
              <w:t>Pasin</w:t>
            </w:r>
            <w:proofErr w:type="spellEnd"/>
            <w:r w:rsidRPr="000B423E">
              <w:rPr>
                <w:rFonts w:cs="Arial"/>
              </w:rPr>
              <w:t xml:space="preserve">, que ainda estudante de geologia, há 35 anos auxiliou seu pai o Engenheiro </w:t>
            </w:r>
            <w:r w:rsidR="001135D5">
              <w:rPr>
                <w:rFonts w:cs="Arial"/>
              </w:rPr>
              <w:t>Victor</w:t>
            </w:r>
            <w:r w:rsidRPr="000B423E">
              <w:rPr>
                <w:rFonts w:cs="Arial"/>
              </w:rPr>
              <w:t xml:space="preserve"> </w:t>
            </w:r>
            <w:proofErr w:type="spellStart"/>
            <w:r w:rsidRPr="000B423E">
              <w:rPr>
                <w:rFonts w:cs="Arial"/>
              </w:rPr>
              <w:t>Pasin</w:t>
            </w:r>
            <w:proofErr w:type="spellEnd"/>
            <w:r w:rsidRPr="000B423E">
              <w:rPr>
                <w:rFonts w:cs="Arial"/>
              </w:rPr>
              <w:t xml:space="preserve">, já falecido, na idealização deste método. O fato dos precursores </w:t>
            </w:r>
            <w:proofErr w:type="gramStart"/>
            <w:r w:rsidRPr="000B423E">
              <w:rPr>
                <w:rFonts w:cs="Arial"/>
              </w:rPr>
              <w:t>da micro</w:t>
            </w:r>
            <w:proofErr w:type="gramEnd"/>
            <w:r w:rsidRPr="000B423E">
              <w:rPr>
                <w:rFonts w:cs="Arial"/>
              </w:rPr>
              <w:t xml:space="preserve"> estaca serem gaúchos é uma das razões pelas quais este sistema de fundação é utilizado praticamente somente nos Estados do Rio Grande do Sul e Santa Catarina. A outra razão são as próprias condições do solo, que no Norte do País, a partir do Estado do Paraná, já não são, na maioria das vezes, tão favoráveis a esta modalidade de estaca. Para dar inicio a esta análise buscou-se inicialmente uma definição do conceito de micro estaca, e segundo o Arq. </w:t>
            </w:r>
            <w:proofErr w:type="spellStart"/>
            <w:r w:rsidRPr="000B423E">
              <w:rPr>
                <w:rFonts w:cs="Arial"/>
              </w:rPr>
              <w:t>Pasin</w:t>
            </w:r>
            <w:proofErr w:type="spellEnd"/>
            <w:r w:rsidRPr="000B423E">
              <w:rPr>
                <w:rFonts w:cs="Arial"/>
              </w:rPr>
              <w:t xml:space="preserve">, este método de execução de fundação é indicado como solução para edificações leves, ou seja, residências, edifícios de até quatro pavimentos, de três pavimentos sobre pilotis e outros sempre dependendo exclusivamente das características do solo, sua aplicabilidade varia conforme as condições do solo, definidas a partir de um Laudo geológico e sua profundidade depende das condições encontradas durante a perfuração de cada estaca, podendo variar de 1,5 m até a altura máxima recomendável de 6,00 m. A perfuração é realizada por rotação com trado mecânico na direção vertical ou inclinada, cujo diâmetro varia de 25 a 30 cm de diâmetro, conforme as condições do solo. Cada estaca suporta um limite de 10 a 15 toneladas e são desaconselháveis em solos finos não coesivos saturados, turfosos e argilas coloidais, ou seja, solos em que a integridade do fuste esteja comprometida ou nos casos onde a pressão do lençol freático possa secionar a micro estaca. Sua resistência depende substancialmente por atrito lateral. Outro esclarecimento relevante do Arq. Eduardo </w:t>
            </w:r>
            <w:proofErr w:type="spellStart"/>
            <w:r w:rsidRPr="000B423E">
              <w:rPr>
                <w:rFonts w:cs="Arial"/>
              </w:rPr>
              <w:t>Pasin</w:t>
            </w:r>
            <w:proofErr w:type="spellEnd"/>
            <w:r w:rsidRPr="000B423E">
              <w:rPr>
                <w:rFonts w:cs="Arial"/>
              </w:rPr>
              <w:t xml:space="preserve"> durante a reunião é de que a elaboração do projeto (definição do nº de estacas e sua localização) </w:t>
            </w:r>
            <w:proofErr w:type="gramStart"/>
            <w:r w:rsidRPr="000B423E">
              <w:rPr>
                <w:rFonts w:cs="Arial"/>
              </w:rPr>
              <w:t>dependem</w:t>
            </w:r>
            <w:proofErr w:type="gramEnd"/>
            <w:r w:rsidRPr="000B423E">
              <w:rPr>
                <w:rFonts w:cs="Arial"/>
              </w:rPr>
              <w:t xml:space="preserve"> de conhecimentos de </w:t>
            </w:r>
            <w:proofErr w:type="spellStart"/>
            <w:r w:rsidRPr="000B423E">
              <w:rPr>
                <w:rFonts w:cs="Arial"/>
              </w:rPr>
              <w:t>geotecnia</w:t>
            </w:r>
            <w:proofErr w:type="spellEnd"/>
            <w:r w:rsidRPr="000B423E">
              <w:rPr>
                <w:rFonts w:cs="Arial"/>
              </w:rPr>
              <w:t xml:space="preserve"> para a interpretação do Laudo geotécnico de sondagem SPT, através do qual o profissional responsável pelas fundações tem que ter capacidade de avaliação dessa sondagem e a transformação, através de métodos empíricos em capacidade de carga. O Arq. </w:t>
            </w:r>
            <w:proofErr w:type="spellStart"/>
            <w:r w:rsidRPr="000B423E">
              <w:rPr>
                <w:rFonts w:cs="Arial"/>
              </w:rPr>
              <w:t>Pasin</w:t>
            </w:r>
            <w:proofErr w:type="spellEnd"/>
            <w:r w:rsidRPr="000B423E">
              <w:rPr>
                <w:rFonts w:cs="Arial"/>
              </w:rPr>
              <w:t xml:space="preserve"> afirma ainda, que isso com certeza não </w:t>
            </w:r>
            <w:proofErr w:type="gramStart"/>
            <w:r w:rsidRPr="000B423E">
              <w:rPr>
                <w:rFonts w:cs="Arial"/>
              </w:rPr>
              <w:t>está</w:t>
            </w:r>
            <w:proofErr w:type="gramEnd"/>
            <w:r w:rsidRPr="000B423E">
              <w:rPr>
                <w:rFonts w:cs="Arial"/>
              </w:rPr>
              <w:t xml:space="preserve"> no currículo universitário de um arquiteto ou engenheiro, mas na sua habilitação profissional de vida, gosto e interesse pelo assunto ou mais especificamente no profissional de fundações. Dos esclarecimentos deduz-se que o princípio do cálculo é o mesmo dos outros tipos de estacas consideradas como profundas. Portanto é vã a ideia de investigar em que categoria as micro estacas se enquadram, se superficiais ou profundas, uma vez que estas são um modelo intermediário, é mais lógico investigar os conhecimentos desenvolvidos no currículo dos arquitetos, conforme definidos no primeiro parágrafo, para que se estabeleça se os Arquitetos e Urbanistas estão ou não habilitados a se responsabilizar pela execução destas fundações. Assim sendo a CEP decidiu montar processo administrativo de Consulta ao CAU/BR para que com base, nas informações prestadas pelo Arquiteto </w:t>
            </w:r>
            <w:proofErr w:type="spellStart"/>
            <w:r w:rsidRPr="000B423E">
              <w:rPr>
                <w:rFonts w:cs="Arial"/>
              </w:rPr>
              <w:t>Pasin</w:t>
            </w:r>
            <w:proofErr w:type="spellEnd"/>
            <w:r w:rsidRPr="000B423E">
              <w:rPr>
                <w:rFonts w:cs="Arial"/>
              </w:rPr>
              <w:t xml:space="preserve"> deliberem sobre o assunto.</w:t>
            </w:r>
          </w:p>
          <w:p w:rsidR="00B37669" w:rsidRPr="00B051BB" w:rsidRDefault="00B37669" w:rsidP="000B423E">
            <w:pPr>
              <w:pStyle w:val="SemEspaamento"/>
              <w:spacing w:line="360" w:lineRule="auto"/>
              <w:jc w:val="both"/>
            </w:pPr>
          </w:p>
        </w:tc>
      </w:tr>
      <w:tr w:rsidR="00622C08" w:rsidRPr="00F50C5A" w:rsidTr="00B051BB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22C08" w:rsidRPr="00B051BB" w:rsidRDefault="00C8725A" w:rsidP="009D52F7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4</w:t>
            </w:r>
            <w:r w:rsidR="00622C08" w:rsidRPr="00B051BB">
              <w:rPr>
                <w:rFonts w:cs="Arial"/>
                <w:b/>
              </w:rPr>
              <w:t xml:space="preserve">. </w:t>
            </w:r>
            <w:r w:rsidR="00CC4A4B" w:rsidRPr="00B051BB">
              <w:rPr>
                <w:rFonts w:cs="Arial"/>
                <w:b/>
              </w:rPr>
              <w:t xml:space="preserve"> Programa de Fiscalização</w:t>
            </w:r>
          </w:p>
        </w:tc>
      </w:tr>
      <w:tr w:rsidR="00756D20" w:rsidRPr="00F50C5A" w:rsidTr="00B051BB">
        <w:trPr>
          <w:trHeight w:val="1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2516" w:rsidRDefault="004B7DA2" w:rsidP="009D52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eastAsia="Times New Roman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</w:rPr>
              <w:t>O Ass. Jurídico Dr.</w:t>
            </w:r>
            <w:r w:rsidR="003F1FFA">
              <w:rPr>
                <w:rFonts w:eastAsia="Times New Roman" w:cs="Courier New"/>
                <w:color w:val="000000"/>
              </w:rPr>
              <w:t xml:space="preserve"> </w:t>
            </w:r>
            <w:r>
              <w:rPr>
                <w:rFonts w:eastAsia="Times New Roman" w:cs="Courier New"/>
                <w:color w:val="000000"/>
              </w:rPr>
              <w:t>Filipe</w:t>
            </w:r>
            <w:r w:rsidR="00221876">
              <w:rPr>
                <w:rFonts w:eastAsia="Times New Roman" w:cs="Courier New"/>
                <w:color w:val="000000"/>
              </w:rPr>
              <w:t xml:space="preserve"> apresentou</w:t>
            </w:r>
            <w:proofErr w:type="gramStart"/>
            <w:r w:rsidR="00221876">
              <w:rPr>
                <w:rFonts w:eastAsia="Times New Roman" w:cs="Courier New"/>
                <w:color w:val="000000"/>
              </w:rPr>
              <w:t xml:space="preserve">  </w:t>
            </w:r>
            <w:proofErr w:type="gramEnd"/>
            <w:r w:rsidR="00221876">
              <w:rPr>
                <w:rFonts w:eastAsia="Times New Roman" w:cs="Courier New"/>
                <w:color w:val="000000"/>
              </w:rPr>
              <w:t xml:space="preserve">parecer jurídico </w:t>
            </w:r>
            <w:r w:rsidR="00F85127">
              <w:rPr>
                <w:rFonts w:eastAsia="Times New Roman" w:cs="Courier New"/>
                <w:color w:val="000000"/>
              </w:rPr>
              <w:t>referente a</w:t>
            </w:r>
            <w:r w:rsidR="003F1FFA">
              <w:rPr>
                <w:rFonts w:eastAsia="Times New Roman" w:cs="Courier New"/>
                <w:color w:val="000000"/>
              </w:rPr>
              <w:t>o Processo</w:t>
            </w:r>
            <w:r w:rsidR="00D9698F">
              <w:rPr>
                <w:rFonts w:eastAsia="Times New Roman" w:cs="Courier New"/>
                <w:color w:val="000000"/>
              </w:rPr>
              <w:t xml:space="preserve"> 097/13</w:t>
            </w:r>
            <w:r w:rsidR="00F85127">
              <w:rPr>
                <w:rFonts w:eastAsia="Times New Roman" w:cs="Courier New"/>
                <w:color w:val="000000"/>
              </w:rPr>
              <w:t xml:space="preserve"> e </w:t>
            </w:r>
            <w:r>
              <w:rPr>
                <w:rFonts w:eastAsia="Times New Roman" w:cs="Courier New"/>
                <w:color w:val="000000"/>
              </w:rPr>
              <w:t xml:space="preserve">explicou as condições da baixa, conforme </w:t>
            </w:r>
            <w:r w:rsidR="008D424A">
              <w:rPr>
                <w:rFonts w:eastAsia="Times New Roman" w:cs="Courier New"/>
                <w:color w:val="000000"/>
              </w:rPr>
              <w:t xml:space="preserve">Res. 24 – Art. 22, tendo como outra hipótese </w:t>
            </w:r>
            <w:proofErr w:type="spellStart"/>
            <w:r w:rsidR="008D424A">
              <w:rPr>
                <w:rFonts w:eastAsia="Times New Roman" w:cs="Courier New"/>
                <w:color w:val="000000"/>
              </w:rPr>
              <w:t>Art</w:t>
            </w:r>
            <w:proofErr w:type="spellEnd"/>
            <w:r w:rsidR="008D424A">
              <w:rPr>
                <w:rFonts w:eastAsia="Times New Roman" w:cs="Courier New"/>
                <w:color w:val="000000"/>
              </w:rPr>
              <w:t xml:space="preserve"> 23 – Omissão do arquiteto. Para a contratante a única hipótese seria o Art.23 – por solicitação via CEP. A Conselheira Maria Bernadete frisou que </w:t>
            </w:r>
            <w:r w:rsidR="008D424A">
              <w:rPr>
                <w:rFonts w:eastAsia="Times New Roman" w:cs="Courier New"/>
                <w:color w:val="000000"/>
              </w:rPr>
              <w:lastRenderedPageBreak/>
              <w:t xml:space="preserve">a posição do arquiteto é </w:t>
            </w:r>
            <w:r w:rsidR="00221876">
              <w:rPr>
                <w:rFonts w:eastAsia="Times New Roman" w:cs="Courier New"/>
                <w:color w:val="000000"/>
              </w:rPr>
              <w:t>taxativa em não dar baixa</w:t>
            </w:r>
            <w:r w:rsidR="008D424A">
              <w:rPr>
                <w:rFonts w:eastAsia="Times New Roman" w:cs="Courier New"/>
                <w:color w:val="000000"/>
              </w:rPr>
              <w:t xml:space="preserve">, pois ele ainda possui pendências e seus direitos </w:t>
            </w:r>
            <w:r w:rsidR="000C2516">
              <w:rPr>
                <w:rFonts w:eastAsia="Times New Roman" w:cs="Courier New"/>
                <w:color w:val="000000"/>
              </w:rPr>
              <w:t>autorais estão em risco.</w:t>
            </w:r>
          </w:p>
          <w:p w:rsidR="009D52F7" w:rsidRDefault="000C2516" w:rsidP="009D52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eastAsia="Times New Roman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</w:rPr>
              <w:t>A contratante deve comprovar a situação da obra, foi sugerido um laudo da situação da obra para a liberação</w:t>
            </w:r>
            <w:r w:rsidR="008D424A">
              <w:rPr>
                <w:rFonts w:eastAsia="Times New Roman" w:cs="Courier New"/>
                <w:color w:val="000000"/>
              </w:rPr>
              <w:t xml:space="preserve"> </w:t>
            </w:r>
            <w:r>
              <w:rPr>
                <w:rFonts w:eastAsia="Times New Roman" w:cs="Courier New"/>
                <w:color w:val="000000"/>
              </w:rPr>
              <w:t>da continuidade da mesma. Não havendo elementos para a decisão, encerrou-se o processo.</w:t>
            </w:r>
          </w:p>
          <w:p w:rsidR="000C2516" w:rsidRDefault="000C2516" w:rsidP="009D52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eastAsia="Times New Roman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</w:rPr>
              <w:t xml:space="preserve"> Foi sugerida a abertura de outro processo, mas encerrou-se o processo por não terem elementos hábeis para a CEP/ RS decidir, com isso as partes </w:t>
            </w:r>
            <w:proofErr w:type="gramStart"/>
            <w:r>
              <w:rPr>
                <w:rFonts w:eastAsia="Times New Roman" w:cs="Courier New"/>
                <w:color w:val="000000"/>
              </w:rPr>
              <w:t>serão</w:t>
            </w:r>
            <w:proofErr w:type="gramEnd"/>
            <w:r>
              <w:rPr>
                <w:rFonts w:eastAsia="Times New Roman" w:cs="Courier New"/>
                <w:color w:val="000000"/>
              </w:rPr>
              <w:t xml:space="preserve"> comunicadas sobre a decisão. Reiterando a decisão de que a situação que foi narrada não se enquadra em nenhuma das hipóteses referidas nos </w:t>
            </w:r>
            <w:proofErr w:type="spellStart"/>
            <w:r>
              <w:rPr>
                <w:rFonts w:eastAsia="Times New Roman" w:cs="Courier New"/>
                <w:color w:val="000000"/>
              </w:rPr>
              <w:t>Arts</w:t>
            </w:r>
            <w:proofErr w:type="spellEnd"/>
            <w:r>
              <w:rPr>
                <w:rFonts w:eastAsia="Times New Roman" w:cs="Courier New"/>
                <w:color w:val="000000"/>
              </w:rPr>
              <w:t>. 22 e 23 da Res. 24, por ausência de comprovação</w:t>
            </w:r>
            <w:r w:rsidR="00971566">
              <w:rPr>
                <w:rFonts w:eastAsia="Times New Roman" w:cs="Courier New"/>
                <w:color w:val="000000"/>
              </w:rPr>
              <w:t xml:space="preserve">, de modo que não </w:t>
            </w:r>
            <w:r w:rsidR="00C52B1A">
              <w:rPr>
                <w:rFonts w:eastAsia="Times New Roman" w:cs="Courier New"/>
                <w:color w:val="000000"/>
              </w:rPr>
              <w:t>foi</w:t>
            </w:r>
            <w:r w:rsidR="00971566">
              <w:rPr>
                <w:rFonts w:eastAsia="Times New Roman" w:cs="Courier New"/>
                <w:color w:val="000000"/>
              </w:rPr>
              <w:t xml:space="preserve"> procedida </w:t>
            </w:r>
            <w:proofErr w:type="gramStart"/>
            <w:r w:rsidR="00971566">
              <w:rPr>
                <w:rFonts w:eastAsia="Times New Roman" w:cs="Courier New"/>
                <w:color w:val="000000"/>
              </w:rPr>
              <w:t>a</w:t>
            </w:r>
            <w:proofErr w:type="gramEnd"/>
            <w:r w:rsidR="00971566">
              <w:rPr>
                <w:rFonts w:eastAsia="Times New Roman" w:cs="Courier New"/>
                <w:color w:val="000000"/>
              </w:rPr>
              <w:t xml:space="preserve"> baixa.</w:t>
            </w:r>
          </w:p>
          <w:p w:rsidR="009D52F7" w:rsidRDefault="00971566" w:rsidP="009D52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eastAsia="Times New Roman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</w:rPr>
              <w:t xml:space="preserve">O Ass. Jurídico </w:t>
            </w:r>
            <w:r w:rsidR="00F85127">
              <w:rPr>
                <w:rFonts w:eastAsia="Times New Roman" w:cs="Courier New"/>
                <w:color w:val="000000"/>
              </w:rPr>
              <w:t>sugeriu</w:t>
            </w:r>
            <w:r>
              <w:rPr>
                <w:rFonts w:eastAsia="Times New Roman" w:cs="Courier New"/>
                <w:color w:val="000000"/>
              </w:rPr>
              <w:t xml:space="preserve"> o arquivamento.</w:t>
            </w:r>
          </w:p>
          <w:p w:rsidR="002128CC" w:rsidRPr="00C31EA6" w:rsidRDefault="00971566" w:rsidP="008C35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eastAsia="Times New Roman" w:cs="Courier New"/>
                <w:color w:val="000000"/>
              </w:rPr>
            </w:pPr>
            <w:r>
              <w:rPr>
                <w:rFonts w:eastAsia="Times New Roman" w:cs="Courier New"/>
                <w:color w:val="000000"/>
              </w:rPr>
              <w:t xml:space="preserve"> A Ass. Técnica Maríndia relatou a rotina do Setor de RRT,</w:t>
            </w:r>
            <w:r w:rsidR="00F85127">
              <w:rPr>
                <w:rFonts w:eastAsia="Times New Roman" w:cs="Courier New"/>
                <w:color w:val="000000"/>
              </w:rPr>
              <w:t xml:space="preserve"> em que muitas análises são requeridas pelo SICCAU exigindo muito trabalho dos funcionários. Atualmente há mais de 10.000 solicitações de baixa pendentes. Considerando esse grande número de pendências e como as Certidões de Acervo Técnico com Atestado que efetivamente constroem o acervo técnico dos profissionais, requerem nova análise dos RRTs respectivos</w:t>
            </w:r>
            <w:proofErr w:type="gramStart"/>
            <w:r w:rsidR="00F85127">
              <w:rPr>
                <w:rFonts w:eastAsia="Times New Roman" w:cs="Courier New"/>
                <w:color w:val="000000"/>
              </w:rPr>
              <w:t>, ,</w:t>
            </w:r>
            <w:proofErr w:type="gramEnd"/>
            <w:r w:rsidR="00F85127">
              <w:rPr>
                <w:rFonts w:eastAsia="Times New Roman" w:cs="Courier New"/>
                <w:color w:val="000000"/>
              </w:rPr>
              <w:t xml:space="preserve"> foi consultada a Gerente Técnica do CAU/BR, Arquiteta e Urbanista Lucélia Duda,  que esteve em Porto Alegre nesta semana, sobre a possibilidade de reduzir a exigência de precisão nos dados dos RRTs, atendo-se apenas a questões muito relevantes com a atribuição e relevando algumas informações menos importantes e quase subjetivas como o prazo de realização dos trabalhos. </w:t>
            </w:r>
            <w:r w:rsidR="00B118B4">
              <w:rPr>
                <w:rFonts w:eastAsia="Times New Roman" w:cs="Courier New"/>
                <w:color w:val="000000"/>
              </w:rPr>
              <w:t>A Arq. L</w:t>
            </w:r>
            <w:r>
              <w:rPr>
                <w:rFonts w:cs="Arial"/>
              </w:rPr>
              <w:t>ucél</w:t>
            </w:r>
            <w:r w:rsidR="008458B5">
              <w:rPr>
                <w:rFonts w:cs="Arial"/>
              </w:rPr>
              <w:t>ia Duda</w:t>
            </w:r>
            <w:r>
              <w:rPr>
                <w:rFonts w:cs="Arial"/>
              </w:rPr>
              <w:t xml:space="preserve"> entendeu que essa análise </w:t>
            </w:r>
            <w:r w:rsidR="00B118B4">
              <w:rPr>
                <w:rFonts w:cs="Arial"/>
              </w:rPr>
              <w:t xml:space="preserve">deve ser criteriosa e já </w:t>
            </w:r>
            <w:r>
              <w:rPr>
                <w:rFonts w:cs="Arial"/>
              </w:rPr>
              <w:t>é um meio de fiscalização</w:t>
            </w:r>
            <w:r w:rsidR="00A2462D">
              <w:rPr>
                <w:rFonts w:cs="Arial"/>
              </w:rPr>
              <w:t>,</w:t>
            </w:r>
            <w:r w:rsidR="008C3500">
              <w:rPr>
                <w:rFonts w:cs="Arial"/>
              </w:rPr>
              <w:t xml:space="preserve"> porque traz muitas informações sobre a atuação dos profissionais e sobre os serviços realizados. Sendo assim, as assessoras Maríndia e Suzana propuseram à CEP que os agentes fiscais também se envolvam no processo e auxiliem nas faixas. O </w:t>
            </w:r>
            <w:r w:rsidR="005A775C">
              <w:rPr>
                <w:rFonts w:cs="Arial"/>
              </w:rPr>
              <w:t xml:space="preserve">Conselheiro </w:t>
            </w:r>
            <w:proofErr w:type="spellStart"/>
            <w:r w:rsidR="005A775C">
              <w:rPr>
                <w:rFonts w:cs="Arial"/>
              </w:rPr>
              <w:t>Pedone</w:t>
            </w:r>
            <w:proofErr w:type="spellEnd"/>
            <w:r w:rsidR="005A775C">
              <w:rPr>
                <w:rFonts w:cs="Arial"/>
              </w:rPr>
              <w:t xml:space="preserve"> </w:t>
            </w:r>
            <w:r w:rsidR="008C3500">
              <w:rPr>
                <w:rFonts w:cs="Arial"/>
              </w:rPr>
              <w:t>concordou, porém essa atividade deve ser incluída no Plano de Fiscalização</w:t>
            </w:r>
            <w:proofErr w:type="gramStart"/>
            <w:r w:rsidR="008C3500">
              <w:rPr>
                <w:rFonts w:cs="Arial"/>
              </w:rPr>
              <w:t xml:space="preserve"> pois</w:t>
            </w:r>
            <w:proofErr w:type="gramEnd"/>
            <w:r w:rsidR="008C3500">
              <w:rPr>
                <w:rFonts w:cs="Arial"/>
              </w:rPr>
              <w:t xml:space="preserve"> exigirá tempo dos fiscais. </w:t>
            </w:r>
            <w:r w:rsidR="00D9698F">
              <w:rPr>
                <w:rFonts w:ascii="Courier New" w:eastAsia="Times New Roman" w:hAnsi="Courier New" w:cs="Courier New"/>
                <w:color w:val="000000"/>
              </w:rPr>
              <w:t xml:space="preserve">                   </w:t>
            </w:r>
          </w:p>
        </w:tc>
      </w:tr>
      <w:tr w:rsidR="00D1635A" w:rsidRPr="00F50C5A" w:rsidTr="002244CF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635A" w:rsidRPr="00F50C5A" w:rsidRDefault="00C8725A" w:rsidP="00C8725A">
            <w:pPr>
              <w:spacing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5.</w:t>
            </w:r>
            <w:r w:rsidR="00B07F82">
              <w:rPr>
                <w:rFonts w:cs="Arial"/>
                <w:b/>
              </w:rPr>
              <w:t xml:space="preserve"> </w:t>
            </w:r>
            <w:r w:rsidR="006F5763">
              <w:rPr>
                <w:rFonts w:cs="Arial"/>
                <w:b/>
              </w:rPr>
              <w:t>Termos de Cooperação Técnica</w:t>
            </w:r>
          </w:p>
        </w:tc>
      </w:tr>
      <w:tr w:rsidR="002D77C9" w:rsidRPr="00F50C5A" w:rsidTr="008854D0">
        <w:trPr>
          <w:trHeight w:val="1674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24EC" w:rsidRDefault="003124EC" w:rsidP="003124EC">
            <w:pPr>
              <w:spacing w:line="360" w:lineRule="auto"/>
              <w:rPr>
                <w:rFonts w:cs="Arial"/>
              </w:rPr>
            </w:pPr>
          </w:p>
          <w:p w:rsidR="00CC4A4B" w:rsidRPr="008854D0" w:rsidRDefault="008C3500" w:rsidP="008C3500">
            <w:r>
              <w:t xml:space="preserve">O </w:t>
            </w:r>
            <w:r w:rsidR="004B7DA2">
              <w:t xml:space="preserve">Termo </w:t>
            </w:r>
            <w:r w:rsidR="00C52B1A">
              <w:t xml:space="preserve">de </w:t>
            </w:r>
            <w:r w:rsidR="004B7DA2">
              <w:t>Cooperação</w:t>
            </w:r>
            <w:r>
              <w:t xml:space="preserve"> com o Município</w:t>
            </w:r>
            <w:r w:rsidR="004B7DA2">
              <w:t xml:space="preserve"> de São Leopoldo foi </w:t>
            </w:r>
            <w:r>
              <w:t xml:space="preserve">entregue à Conselheira Rosana </w:t>
            </w:r>
            <w:proofErr w:type="spellStart"/>
            <w:r>
              <w:t>Oppitz</w:t>
            </w:r>
            <w:proofErr w:type="spellEnd"/>
            <w:r>
              <w:t xml:space="preserve"> para encaminhar ao Prefeito Municipal.</w:t>
            </w:r>
          </w:p>
        </w:tc>
      </w:tr>
      <w:tr w:rsidR="00CC4A4B" w:rsidRPr="00F50C5A" w:rsidTr="00CC4A4B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A4B" w:rsidRPr="00F50C5A" w:rsidRDefault="00C8725A" w:rsidP="003124EC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  <w:color w:val="000000" w:themeColor="text1"/>
              </w:rPr>
              <w:t>6</w:t>
            </w:r>
            <w:r w:rsidR="00CC4A4B" w:rsidRPr="00F50C5A">
              <w:rPr>
                <w:rFonts w:cs="Arial"/>
                <w:b/>
                <w:color w:val="000000" w:themeColor="text1"/>
              </w:rPr>
              <w:t xml:space="preserve">. </w:t>
            </w:r>
            <w:r w:rsidR="006F5763">
              <w:rPr>
                <w:rFonts w:cs="Arial"/>
                <w:b/>
                <w:color w:val="000000" w:themeColor="text1"/>
              </w:rPr>
              <w:t>Assuntos Gerais</w:t>
            </w:r>
          </w:p>
        </w:tc>
      </w:tr>
      <w:tr w:rsidR="00CC4A4B" w:rsidRPr="00F50C5A" w:rsidTr="00CC4A4B">
        <w:trPr>
          <w:trHeight w:val="10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4C" w:rsidRDefault="004D294C" w:rsidP="004D294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Não foram tratados assuntos gerais na presente reunião.</w:t>
            </w:r>
          </w:p>
          <w:p w:rsidR="006F5763" w:rsidRPr="00092069" w:rsidRDefault="00847824" w:rsidP="00092069">
            <w:pPr>
              <w:spacing w:line="360" w:lineRule="auto"/>
              <w:rPr>
                <w:rFonts w:cs="Arial"/>
              </w:rPr>
            </w:pPr>
            <w:r>
              <w:rPr>
                <w:rFonts w:eastAsia="Times New Roman" w:cs="Courier New"/>
                <w:color w:val="000000"/>
              </w:rPr>
              <w:t xml:space="preserve"> </w:t>
            </w:r>
          </w:p>
        </w:tc>
      </w:tr>
      <w:tr w:rsidR="001F218C" w:rsidRPr="00F50C5A" w:rsidTr="00C31EA6">
        <w:trPr>
          <w:trHeight w:val="267"/>
        </w:trPr>
        <w:tc>
          <w:tcPr>
            <w:tcW w:w="18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F50C5A" w:rsidRDefault="001F218C" w:rsidP="003124EC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6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F50C5A" w:rsidRDefault="001F218C" w:rsidP="003124EC">
            <w:pPr>
              <w:tabs>
                <w:tab w:val="left" w:pos="3343"/>
              </w:tabs>
              <w:spacing w:line="360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CARGO</w:t>
            </w:r>
          </w:p>
        </w:tc>
        <w:tc>
          <w:tcPr>
            <w:tcW w:w="19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18C" w:rsidRPr="00F50C5A" w:rsidRDefault="001F218C" w:rsidP="003124EC">
            <w:pPr>
              <w:tabs>
                <w:tab w:val="left" w:pos="3343"/>
              </w:tabs>
              <w:spacing w:line="360" w:lineRule="auto"/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ASSINATURA</w:t>
            </w:r>
          </w:p>
        </w:tc>
      </w:tr>
      <w:tr w:rsidR="004352DB" w:rsidRPr="00F50C5A" w:rsidTr="00C31EA6">
        <w:trPr>
          <w:trHeight w:val="360"/>
        </w:trPr>
        <w:tc>
          <w:tcPr>
            <w:tcW w:w="18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2DB" w:rsidRPr="00F50C5A" w:rsidRDefault="004352DB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 xml:space="preserve">Carlos Eduardo </w:t>
            </w:r>
            <w:proofErr w:type="spellStart"/>
            <w:r w:rsidRPr="00F50C5A">
              <w:rPr>
                <w:rFonts w:cs="Arial"/>
              </w:rPr>
              <w:t>Pedone</w:t>
            </w:r>
            <w:proofErr w:type="spellEnd"/>
          </w:p>
        </w:tc>
        <w:tc>
          <w:tcPr>
            <w:tcW w:w="126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2DB" w:rsidRPr="00F50C5A" w:rsidRDefault="004352DB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Coordenador</w:t>
            </w:r>
          </w:p>
        </w:tc>
        <w:tc>
          <w:tcPr>
            <w:tcW w:w="19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2DB" w:rsidRPr="00F50C5A" w:rsidRDefault="004352DB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2128CC" w:rsidRPr="00F50C5A" w:rsidTr="00C31EA6">
        <w:trPr>
          <w:trHeight w:val="360"/>
        </w:trPr>
        <w:tc>
          <w:tcPr>
            <w:tcW w:w="18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8CC" w:rsidRPr="00F50C5A" w:rsidRDefault="002128CC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 xml:space="preserve">Rosana </w:t>
            </w:r>
            <w:proofErr w:type="spellStart"/>
            <w:r w:rsidRPr="00F50C5A">
              <w:rPr>
                <w:rFonts w:cs="Arial"/>
              </w:rPr>
              <w:t>Oppitz</w:t>
            </w:r>
            <w:proofErr w:type="spellEnd"/>
          </w:p>
        </w:tc>
        <w:tc>
          <w:tcPr>
            <w:tcW w:w="126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8CC" w:rsidRPr="00F50C5A" w:rsidRDefault="002128CC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19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8CC" w:rsidRPr="00F50C5A" w:rsidRDefault="002128CC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5432C1" w:rsidRPr="00F50C5A" w:rsidTr="00C31EA6">
        <w:trPr>
          <w:trHeight w:val="360"/>
        </w:trPr>
        <w:tc>
          <w:tcPr>
            <w:tcW w:w="18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F50C5A" w:rsidRDefault="005432C1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 xml:space="preserve">Clarissa </w:t>
            </w:r>
            <w:proofErr w:type="spellStart"/>
            <w:r w:rsidRPr="00F50C5A">
              <w:rPr>
                <w:rFonts w:cs="Arial"/>
              </w:rPr>
              <w:t>Berny</w:t>
            </w:r>
            <w:proofErr w:type="spellEnd"/>
          </w:p>
        </w:tc>
        <w:tc>
          <w:tcPr>
            <w:tcW w:w="126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F50C5A" w:rsidRDefault="005432C1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19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32C1" w:rsidRPr="00F50C5A" w:rsidRDefault="005432C1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932EE7" w:rsidRPr="00F50C5A" w:rsidTr="00C31EA6">
        <w:trPr>
          <w:trHeight w:val="360"/>
        </w:trPr>
        <w:tc>
          <w:tcPr>
            <w:tcW w:w="18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F50C5A" w:rsidRDefault="00932EE7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 xml:space="preserve">Maria Bernadete </w:t>
            </w:r>
            <w:proofErr w:type="spellStart"/>
            <w:r w:rsidRPr="00F50C5A">
              <w:rPr>
                <w:rFonts w:cs="Arial"/>
              </w:rPr>
              <w:t>Sinhorelli</w:t>
            </w:r>
            <w:proofErr w:type="spellEnd"/>
            <w:r w:rsidRPr="00F50C5A">
              <w:rPr>
                <w:rFonts w:cs="Arial"/>
              </w:rPr>
              <w:t xml:space="preserve"> de Oliveira</w:t>
            </w:r>
          </w:p>
        </w:tc>
        <w:tc>
          <w:tcPr>
            <w:tcW w:w="126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F50C5A" w:rsidRDefault="00932EE7" w:rsidP="003124EC">
            <w:pPr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19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EE7" w:rsidRPr="00F50C5A" w:rsidRDefault="00932EE7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1F218C" w:rsidRPr="00F50C5A" w:rsidTr="00C31EA6">
        <w:trPr>
          <w:trHeight w:val="333"/>
        </w:trPr>
        <w:tc>
          <w:tcPr>
            <w:tcW w:w="18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F50C5A" w:rsidRDefault="00A13AC6" w:rsidP="003124EC">
            <w:pPr>
              <w:spacing w:line="360" w:lineRule="auto"/>
            </w:pPr>
            <w:r w:rsidRPr="00F50C5A">
              <w:t>Suzana Rosa</w:t>
            </w:r>
          </w:p>
        </w:tc>
        <w:tc>
          <w:tcPr>
            <w:tcW w:w="126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F50C5A" w:rsidRDefault="001F218C" w:rsidP="00D7336A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Assessora Técnica</w:t>
            </w:r>
          </w:p>
        </w:tc>
        <w:tc>
          <w:tcPr>
            <w:tcW w:w="19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F50C5A" w:rsidRDefault="001F218C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1F218C" w:rsidRPr="00F50C5A" w:rsidTr="00C31EA6">
        <w:trPr>
          <w:trHeight w:val="360"/>
        </w:trPr>
        <w:tc>
          <w:tcPr>
            <w:tcW w:w="18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F50C5A" w:rsidRDefault="001F218C" w:rsidP="003124EC">
            <w:pPr>
              <w:spacing w:line="360" w:lineRule="auto"/>
            </w:pPr>
            <w:r w:rsidRPr="00F50C5A">
              <w:t>Sérgio Gré Junior</w:t>
            </w:r>
          </w:p>
        </w:tc>
        <w:tc>
          <w:tcPr>
            <w:tcW w:w="1261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F50C5A" w:rsidRDefault="006677F0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Secretário</w:t>
            </w:r>
          </w:p>
        </w:tc>
        <w:tc>
          <w:tcPr>
            <w:tcW w:w="19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18C" w:rsidRPr="00F50C5A" w:rsidRDefault="001F218C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607E78" w:rsidRPr="00F50C5A" w:rsidTr="00C31EA6">
        <w:trPr>
          <w:trHeight w:val="360"/>
        </w:trPr>
        <w:tc>
          <w:tcPr>
            <w:tcW w:w="182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607E78" w:rsidRPr="00F50C5A" w:rsidRDefault="00C04C4B" w:rsidP="003124EC">
            <w:pPr>
              <w:spacing w:line="360" w:lineRule="auto"/>
            </w:pPr>
            <w:r w:rsidRPr="00F50C5A">
              <w:t xml:space="preserve">Letícia </w:t>
            </w:r>
            <w:proofErr w:type="spellStart"/>
            <w:r w:rsidRPr="00F50C5A">
              <w:t>Filgue</w:t>
            </w:r>
            <w:r w:rsidR="00607E78" w:rsidRPr="00F50C5A">
              <w:t>ras</w:t>
            </w:r>
            <w:proofErr w:type="spellEnd"/>
          </w:p>
        </w:tc>
        <w:tc>
          <w:tcPr>
            <w:tcW w:w="1261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607E78" w:rsidRPr="00F50C5A" w:rsidRDefault="00607E78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 w:rsidRPr="00F50C5A">
              <w:rPr>
                <w:rFonts w:cs="Arial"/>
              </w:rPr>
              <w:t>Assessora Jurídica</w:t>
            </w:r>
          </w:p>
        </w:tc>
        <w:tc>
          <w:tcPr>
            <w:tcW w:w="191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607E78" w:rsidRPr="00F50C5A" w:rsidRDefault="00607E78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D7336A" w:rsidRPr="00F50C5A" w:rsidTr="00C31EA6">
        <w:trPr>
          <w:trHeight w:val="360"/>
        </w:trPr>
        <w:tc>
          <w:tcPr>
            <w:tcW w:w="182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7336A" w:rsidRPr="00F50C5A" w:rsidRDefault="00D7336A" w:rsidP="003124EC">
            <w:pPr>
              <w:spacing w:line="360" w:lineRule="auto"/>
            </w:pPr>
            <w:r>
              <w:lastRenderedPageBreak/>
              <w:t xml:space="preserve">Filipe </w:t>
            </w:r>
            <w:proofErr w:type="spellStart"/>
            <w:r>
              <w:t>Diffini</w:t>
            </w:r>
            <w:proofErr w:type="spellEnd"/>
            <w:r>
              <w:t xml:space="preserve"> Santa Maria</w:t>
            </w:r>
          </w:p>
        </w:tc>
        <w:tc>
          <w:tcPr>
            <w:tcW w:w="1261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7336A" w:rsidRPr="00F50C5A" w:rsidRDefault="00D7336A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Assessor Jurídico</w:t>
            </w:r>
          </w:p>
        </w:tc>
        <w:tc>
          <w:tcPr>
            <w:tcW w:w="191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7336A" w:rsidRPr="00F50C5A" w:rsidRDefault="00D7336A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D7336A" w:rsidRPr="00F50C5A" w:rsidTr="00C31EA6">
        <w:trPr>
          <w:trHeight w:val="360"/>
        </w:trPr>
        <w:tc>
          <w:tcPr>
            <w:tcW w:w="182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7336A" w:rsidRPr="00F50C5A" w:rsidRDefault="00D7336A" w:rsidP="003124EC">
            <w:pPr>
              <w:spacing w:line="360" w:lineRule="auto"/>
            </w:pPr>
            <w:r>
              <w:t>Maríndia Girardello</w:t>
            </w:r>
          </w:p>
        </w:tc>
        <w:tc>
          <w:tcPr>
            <w:tcW w:w="1261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7336A" w:rsidRPr="00F50C5A" w:rsidRDefault="00D7336A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Assessora Técnica</w:t>
            </w:r>
          </w:p>
        </w:tc>
        <w:tc>
          <w:tcPr>
            <w:tcW w:w="191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7336A" w:rsidRPr="00F50C5A" w:rsidRDefault="00D7336A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D7336A" w:rsidRPr="00F50C5A" w:rsidTr="00C31EA6">
        <w:trPr>
          <w:trHeight w:val="360"/>
        </w:trPr>
        <w:tc>
          <w:tcPr>
            <w:tcW w:w="182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7336A" w:rsidRPr="00F50C5A" w:rsidRDefault="00D7336A" w:rsidP="003124EC">
            <w:pPr>
              <w:spacing w:line="360" w:lineRule="auto"/>
            </w:pPr>
            <w:r>
              <w:t xml:space="preserve">Alessandra </w:t>
            </w:r>
            <w:proofErr w:type="spellStart"/>
            <w:r>
              <w:t>Scalcon</w:t>
            </w:r>
            <w:proofErr w:type="spellEnd"/>
          </w:p>
        </w:tc>
        <w:tc>
          <w:tcPr>
            <w:tcW w:w="1261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7336A" w:rsidRPr="00F50C5A" w:rsidRDefault="00D7336A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Assessora da Fiscalização</w:t>
            </w:r>
          </w:p>
        </w:tc>
        <w:tc>
          <w:tcPr>
            <w:tcW w:w="191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7336A" w:rsidRPr="00F50C5A" w:rsidRDefault="00D7336A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D7336A" w:rsidRPr="00F50C5A" w:rsidTr="00C31EA6">
        <w:trPr>
          <w:trHeight w:val="360"/>
        </w:trPr>
        <w:tc>
          <w:tcPr>
            <w:tcW w:w="182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7336A" w:rsidRPr="00F50C5A" w:rsidRDefault="00D7336A" w:rsidP="00D7336A">
            <w:pPr>
              <w:spacing w:line="360" w:lineRule="auto"/>
            </w:pPr>
            <w:r>
              <w:t>Aline Garcia Silva</w:t>
            </w:r>
          </w:p>
        </w:tc>
        <w:tc>
          <w:tcPr>
            <w:tcW w:w="1261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7336A" w:rsidRPr="00F50C5A" w:rsidRDefault="00D7336A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191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7336A" w:rsidRPr="00F50C5A" w:rsidRDefault="00D7336A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D7336A" w:rsidRPr="00F50C5A" w:rsidTr="00C31EA6">
        <w:trPr>
          <w:trHeight w:val="360"/>
        </w:trPr>
        <w:tc>
          <w:tcPr>
            <w:tcW w:w="182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7336A" w:rsidRDefault="00D7336A" w:rsidP="00D7336A">
            <w:pPr>
              <w:spacing w:line="360" w:lineRule="auto"/>
            </w:pPr>
            <w:r>
              <w:t>Rogério Pinto Dias de Oliveira</w:t>
            </w:r>
          </w:p>
        </w:tc>
        <w:tc>
          <w:tcPr>
            <w:tcW w:w="1261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7336A" w:rsidRDefault="00D7336A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191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7336A" w:rsidRPr="00F50C5A" w:rsidRDefault="00D7336A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  <w:tr w:rsidR="00D7336A" w:rsidRPr="00F50C5A" w:rsidTr="00C31EA6">
        <w:trPr>
          <w:trHeight w:val="360"/>
        </w:trPr>
        <w:tc>
          <w:tcPr>
            <w:tcW w:w="182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7336A" w:rsidRDefault="00D7336A" w:rsidP="00D7336A">
            <w:pPr>
              <w:spacing w:line="360" w:lineRule="auto"/>
            </w:pPr>
            <w:r>
              <w:t>Antônio César Cassol da Rocha</w:t>
            </w:r>
          </w:p>
        </w:tc>
        <w:tc>
          <w:tcPr>
            <w:tcW w:w="1261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7336A" w:rsidRDefault="00D7336A" w:rsidP="003124EC">
            <w:pPr>
              <w:tabs>
                <w:tab w:val="left" w:pos="3343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Agente de Fiscalização</w:t>
            </w:r>
          </w:p>
        </w:tc>
        <w:tc>
          <w:tcPr>
            <w:tcW w:w="1916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D7336A" w:rsidRPr="00F50C5A" w:rsidRDefault="00D7336A" w:rsidP="003124EC">
            <w:pPr>
              <w:tabs>
                <w:tab w:val="left" w:pos="3343"/>
              </w:tabs>
              <w:spacing w:line="360" w:lineRule="auto"/>
              <w:rPr>
                <w:rFonts w:cs="Arial"/>
                <w:b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B66" w:rsidRDefault="00033B66" w:rsidP="00A021E7">
      <w:pPr>
        <w:spacing w:after="0" w:line="240" w:lineRule="auto"/>
      </w:pPr>
      <w:r>
        <w:separator/>
      </w:r>
    </w:p>
  </w:endnote>
  <w:endnote w:type="continuationSeparator" w:id="0">
    <w:p w:rsidR="00033B66" w:rsidRDefault="00033B66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B66" w:rsidRDefault="00033B66" w:rsidP="00A021E7">
      <w:pPr>
        <w:spacing w:after="0" w:line="240" w:lineRule="auto"/>
      </w:pPr>
      <w:r>
        <w:separator/>
      </w:r>
    </w:p>
  </w:footnote>
  <w:footnote w:type="continuationSeparator" w:id="0">
    <w:p w:rsidR="00033B66" w:rsidRDefault="00033B66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5FFA"/>
    <w:rsid w:val="00016EF6"/>
    <w:rsid w:val="000171A2"/>
    <w:rsid w:val="00020AB8"/>
    <w:rsid w:val="00020D67"/>
    <w:rsid w:val="000327E9"/>
    <w:rsid w:val="00033B66"/>
    <w:rsid w:val="00035D9F"/>
    <w:rsid w:val="00040E42"/>
    <w:rsid w:val="0004704F"/>
    <w:rsid w:val="00050496"/>
    <w:rsid w:val="000505D8"/>
    <w:rsid w:val="00052834"/>
    <w:rsid w:val="00061EF6"/>
    <w:rsid w:val="00065D0F"/>
    <w:rsid w:val="00066DC9"/>
    <w:rsid w:val="00082E8F"/>
    <w:rsid w:val="00084E17"/>
    <w:rsid w:val="00087EBF"/>
    <w:rsid w:val="00092069"/>
    <w:rsid w:val="00092C5C"/>
    <w:rsid w:val="000A083A"/>
    <w:rsid w:val="000A4CBB"/>
    <w:rsid w:val="000A6CD7"/>
    <w:rsid w:val="000B423E"/>
    <w:rsid w:val="000C2516"/>
    <w:rsid w:val="000C3D75"/>
    <w:rsid w:val="000D3541"/>
    <w:rsid w:val="000D5FE4"/>
    <w:rsid w:val="000D7931"/>
    <w:rsid w:val="000D7CC2"/>
    <w:rsid w:val="000F291F"/>
    <w:rsid w:val="000F6DD2"/>
    <w:rsid w:val="00103993"/>
    <w:rsid w:val="001135D5"/>
    <w:rsid w:val="00115E8C"/>
    <w:rsid w:val="0011750D"/>
    <w:rsid w:val="00124B53"/>
    <w:rsid w:val="00130091"/>
    <w:rsid w:val="00130BBA"/>
    <w:rsid w:val="00136417"/>
    <w:rsid w:val="0014500B"/>
    <w:rsid w:val="001550CE"/>
    <w:rsid w:val="001568E4"/>
    <w:rsid w:val="00160155"/>
    <w:rsid w:val="00164E51"/>
    <w:rsid w:val="0016539E"/>
    <w:rsid w:val="001734AD"/>
    <w:rsid w:val="0017401C"/>
    <w:rsid w:val="00176032"/>
    <w:rsid w:val="00186D47"/>
    <w:rsid w:val="0019436F"/>
    <w:rsid w:val="001A56F8"/>
    <w:rsid w:val="001A66B9"/>
    <w:rsid w:val="001C449B"/>
    <w:rsid w:val="001C6E48"/>
    <w:rsid w:val="001D142F"/>
    <w:rsid w:val="001E0C78"/>
    <w:rsid w:val="001F11D8"/>
    <w:rsid w:val="001F218C"/>
    <w:rsid w:val="002006D5"/>
    <w:rsid w:val="00200F43"/>
    <w:rsid w:val="002017FB"/>
    <w:rsid w:val="002021A3"/>
    <w:rsid w:val="00202F5D"/>
    <w:rsid w:val="0021015E"/>
    <w:rsid w:val="002128CC"/>
    <w:rsid w:val="00213C59"/>
    <w:rsid w:val="0022079D"/>
    <w:rsid w:val="00221876"/>
    <w:rsid w:val="0022361A"/>
    <w:rsid w:val="002244CF"/>
    <w:rsid w:val="00224C9B"/>
    <w:rsid w:val="002316EC"/>
    <w:rsid w:val="002437AA"/>
    <w:rsid w:val="00246401"/>
    <w:rsid w:val="00273470"/>
    <w:rsid w:val="00283215"/>
    <w:rsid w:val="00287862"/>
    <w:rsid w:val="00287AE1"/>
    <w:rsid w:val="0029120D"/>
    <w:rsid w:val="002C2B2A"/>
    <w:rsid w:val="002C67EB"/>
    <w:rsid w:val="002C7178"/>
    <w:rsid w:val="002C7AE9"/>
    <w:rsid w:val="002C7D03"/>
    <w:rsid w:val="002D77C9"/>
    <w:rsid w:val="002E2373"/>
    <w:rsid w:val="002F1CEE"/>
    <w:rsid w:val="002F3B4C"/>
    <w:rsid w:val="002F553E"/>
    <w:rsid w:val="0030043C"/>
    <w:rsid w:val="00301608"/>
    <w:rsid w:val="0031180A"/>
    <w:rsid w:val="003124EC"/>
    <w:rsid w:val="00313EE1"/>
    <w:rsid w:val="00322840"/>
    <w:rsid w:val="00332119"/>
    <w:rsid w:val="003354E3"/>
    <w:rsid w:val="00336F4E"/>
    <w:rsid w:val="0034261F"/>
    <w:rsid w:val="0034545A"/>
    <w:rsid w:val="00346C3D"/>
    <w:rsid w:val="00357C74"/>
    <w:rsid w:val="0037333D"/>
    <w:rsid w:val="00373CC9"/>
    <w:rsid w:val="003762F4"/>
    <w:rsid w:val="003817BE"/>
    <w:rsid w:val="003834D7"/>
    <w:rsid w:val="003C18F0"/>
    <w:rsid w:val="003E4E61"/>
    <w:rsid w:val="003E5FB2"/>
    <w:rsid w:val="003F1FFA"/>
    <w:rsid w:val="00404B80"/>
    <w:rsid w:val="00413B09"/>
    <w:rsid w:val="00414C68"/>
    <w:rsid w:val="00423252"/>
    <w:rsid w:val="00423A0C"/>
    <w:rsid w:val="0042521A"/>
    <w:rsid w:val="0042645A"/>
    <w:rsid w:val="004264BC"/>
    <w:rsid w:val="00426AC6"/>
    <w:rsid w:val="004278E0"/>
    <w:rsid w:val="00432735"/>
    <w:rsid w:val="004352DB"/>
    <w:rsid w:val="004438A3"/>
    <w:rsid w:val="004468B6"/>
    <w:rsid w:val="00453501"/>
    <w:rsid w:val="00456D35"/>
    <w:rsid w:val="00457B92"/>
    <w:rsid w:val="00465760"/>
    <w:rsid w:val="00465B89"/>
    <w:rsid w:val="00474339"/>
    <w:rsid w:val="00475043"/>
    <w:rsid w:val="0047510F"/>
    <w:rsid w:val="00483D09"/>
    <w:rsid w:val="00491CB7"/>
    <w:rsid w:val="004A187D"/>
    <w:rsid w:val="004A4B81"/>
    <w:rsid w:val="004B0874"/>
    <w:rsid w:val="004B3B69"/>
    <w:rsid w:val="004B7DA2"/>
    <w:rsid w:val="004C3433"/>
    <w:rsid w:val="004C78A1"/>
    <w:rsid w:val="004C7944"/>
    <w:rsid w:val="004D1303"/>
    <w:rsid w:val="004D294C"/>
    <w:rsid w:val="004E2250"/>
    <w:rsid w:val="004E2A36"/>
    <w:rsid w:val="004E37DC"/>
    <w:rsid w:val="004E5F28"/>
    <w:rsid w:val="004F40C8"/>
    <w:rsid w:val="00500328"/>
    <w:rsid w:val="00504D45"/>
    <w:rsid w:val="00510664"/>
    <w:rsid w:val="00513484"/>
    <w:rsid w:val="00513DAA"/>
    <w:rsid w:val="00522A1A"/>
    <w:rsid w:val="005233FC"/>
    <w:rsid w:val="00523664"/>
    <w:rsid w:val="0052425B"/>
    <w:rsid w:val="0052531D"/>
    <w:rsid w:val="0053098E"/>
    <w:rsid w:val="005432C1"/>
    <w:rsid w:val="005566CE"/>
    <w:rsid w:val="0055781D"/>
    <w:rsid w:val="00560E35"/>
    <w:rsid w:val="00562D94"/>
    <w:rsid w:val="00563A4D"/>
    <w:rsid w:val="00570DFE"/>
    <w:rsid w:val="00571B8D"/>
    <w:rsid w:val="005734AC"/>
    <w:rsid w:val="0057365D"/>
    <w:rsid w:val="00575078"/>
    <w:rsid w:val="00575B6B"/>
    <w:rsid w:val="00576124"/>
    <w:rsid w:val="00580C84"/>
    <w:rsid w:val="00591781"/>
    <w:rsid w:val="0059247A"/>
    <w:rsid w:val="005A775C"/>
    <w:rsid w:val="005B18B9"/>
    <w:rsid w:val="005C6A06"/>
    <w:rsid w:val="005D2560"/>
    <w:rsid w:val="005D2D32"/>
    <w:rsid w:val="005E0DB3"/>
    <w:rsid w:val="005E5888"/>
    <w:rsid w:val="005E5DE0"/>
    <w:rsid w:val="005F0DCC"/>
    <w:rsid w:val="005F1C1E"/>
    <w:rsid w:val="006019C1"/>
    <w:rsid w:val="00603AD4"/>
    <w:rsid w:val="00607E78"/>
    <w:rsid w:val="00611705"/>
    <w:rsid w:val="006119F3"/>
    <w:rsid w:val="006136C2"/>
    <w:rsid w:val="006153A4"/>
    <w:rsid w:val="00622387"/>
    <w:rsid w:val="0062283C"/>
    <w:rsid w:val="00622C08"/>
    <w:rsid w:val="0062609E"/>
    <w:rsid w:val="006315B1"/>
    <w:rsid w:val="0063257C"/>
    <w:rsid w:val="00633574"/>
    <w:rsid w:val="006335EA"/>
    <w:rsid w:val="00637C03"/>
    <w:rsid w:val="00641C98"/>
    <w:rsid w:val="00646B97"/>
    <w:rsid w:val="00654AA9"/>
    <w:rsid w:val="00660FB6"/>
    <w:rsid w:val="006677F0"/>
    <w:rsid w:val="00670477"/>
    <w:rsid w:val="00680306"/>
    <w:rsid w:val="00683E4C"/>
    <w:rsid w:val="00686BEF"/>
    <w:rsid w:val="00694B57"/>
    <w:rsid w:val="006A1609"/>
    <w:rsid w:val="006A5B83"/>
    <w:rsid w:val="006B021D"/>
    <w:rsid w:val="006B3F53"/>
    <w:rsid w:val="006C036E"/>
    <w:rsid w:val="006C2228"/>
    <w:rsid w:val="006D1B92"/>
    <w:rsid w:val="006F3427"/>
    <w:rsid w:val="006F5763"/>
    <w:rsid w:val="006F70FF"/>
    <w:rsid w:val="00712D0F"/>
    <w:rsid w:val="007131B3"/>
    <w:rsid w:val="00713AB4"/>
    <w:rsid w:val="00725DAA"/>
    <w:rsid w:val="00731376"/>
    <w:rsid w:val="00735592"/>
    <w:rsid w:val="00737007"/>
    <w:rsid w:val="0073747A"/>
    <w:rsid w:val="00737E12"/>
    <w:rsid w:val="00742F8F"/>
    <w:rsid w:val="00743542"/>
    <w:rsid w:val="0074371C"/>
    <w:rsid w:val="00743C28"/>
    <w:rsid w:val="00754162"/>
    <w:rsid w:val="00755AAD"/>
    <w:rsid w:val="00756D20"/>
    <w:rsid w:val="00763B8A"/>
    <w:rsid w:val="00766B7C"/>
    <w:rsid w:val="00781A4A"/>
    <w:rsid w:val="00783709"/>
    <w:rsid w:val="007863D5"/>
    <w:rsid w:val="00797457"/>
    <w:rsid w:val="00797482"/>
    <w:rsid w:val="007A0BCD"/>
    <w:rsid w:val="007A6BB4"/>
    <w:rsid w:val="007B5357"/>
    <w:rsid w:val="007B57E7"/>
    <w:rsid w:val="007B6A45"/>
    <w:rsid w:val="007C0340"/>
    <w:rsid w:val="007C27D9"/>
    <w:rsid w:val="007C602E"/>
    <w:rsid w:val="007C6130"/>
    <w:rsid w:val="007D6F56"/>
    <w:rsid w:val="007D7B0B"/>
    <w:rsid w:val="007F0014"/>
    <w:rsid w:val="007F060D"/>
    <w:rsid w:val="007F0F3A"/>
    <w:rsid w:val="007F4756"/>
    <w:rsid w:val="00802DAE"/>
    <w:rsid w:val="00806ED4"/>
    <w:rsid w:val="00812BA5"/>
    <w:rsid w:val="00812F4F"/>
    <w:rsid w:val="00814236"/>
    <w:rsid w:val="00815637"/>
    <w:rsid w:val="00821C45"/>
    <w:rsid w:val="00827019"/>
    <w:rsid w:val="00831B35"/>
    <w:rsid w:val="0083360A"/>
    <w:rsid w:val="008369D8"/>
    <w:rsid w:val="00836D9E"/>
    <w:rsid w:val="0084344A"/>
    <w:rsid w:val="0084381C"/>
    <w:rsid w:val="00843D41"/>
    <w:rsid w:val="008458B5"/>
    <w:rsid w:val="00845E07"/>
    <w:rsid w:val="00847824"/>
    <w:rsid w:val="00852DD3"/>
    <w:rsid w:val="0086200C"/>
    <w:rsid w:val="00862792"/>
    <w:rsid w:val="0086478F"/>
    <w:rsid w:val="00865A39"/>
    <w:rsid w:val="00870514"/>
    <w:rsid w:val="00874043"/>
    <w:rsid w:val="00875837"/>
    <w:rsid w:val="00876BB1"/>
    <w:rsid w:val="008854D0"/>
    <w:rsid w:val="00887F55"/>
    <w:rsid w:val="00890995"/>
    <w:rsid w:val="00892BA1"/>
    <w:rsid w:val="00897E8A"/>
    <w:rsid w:val="008A5EA7"/>
    <w:rsid w:val="008C1397"/>
    <w:rsid w:val="008C3500"/>
    <w:rsid w:val="008C5345"/>
    <w:rsid w:val="008D424A"/>
    <w:rsid w:val="008E4B3F"/>
    <w:rsid w:val="008F07B6"/>
    <w:rsid w:val="00900056"/>
    <w:rsid w:val="0090340B"/>
    <w:rsid w:val="00904AA9"/>
    <w:rsid w:val="00905323"/>
    <w:rsid w:val="00911A77"/>
    <w:rsid w:val="009158EF"/>
    <w:rsid w:val="009173DB"/>
    <w:rsid w:val="009219B2"/>
    <w:rsid w:val="00932046"/>
    <w:rsid w:val="00932EE7"/>
    <w:rsid w:val="0093361F"/>
    <w:rsid w:val="00934575"/>
    <w:rsid w:val="00935D55"/>
    <w:rsid w:val="00936A6B"/>
    <w:rsid w:val="009404BE"/>
    <w:rsid w:val="00947B1C"/>
    <w:rsid w:val="0096290E"/>
    <w:rsid w:val="009651B7"/>
    <w:rsid w:val="00966A2F"/>
    <w:rsid w:val="00971566"/>
    <w:rsid w:val="00973CA7"/>
    <w:rsid w:val="0097751B"/>
    <w:rsid w:val="009810AC"/>
    <w:rsid w:val="00981732"/>
    <w:rsid w:val="009855EB"/>
    <w:rsid w:val="00986C76"/>
    <w:rsid w:val="00996590"/>
    <w:rsid w:val="009A12A8"/>
    <w:rsid w:val="009A5C52"/>
    <w:rsid w:val="009A600E"/>
    <w:rsid w:val="009A6D85"/>
    <w:rsid w:val="009A76F8"/>
    <w:rsid w:val="009B1FC6"/>
    <w:rsid w:val="009B29C2"/>
    <w:rsid w:val="009B7958"/>
    <w:rsid w:val="009C16D1"/>
    <w:rsid w:val="009C6E96"/>
    <w:rsid w:val="009D1B65"/>
    <w:rsid w:val="009D52EA"/>
    <w:rsid w:val="009D52F7"/>
    <w:rsid w:val="009E6A91"/>
    <w:rsid w:val="009E7340"/>
    <w:rsid w:val="009F0757"/>
    <w:rsid w:val="009F127E"/>
    <w:rsid w:val="009F6980"/>
    <w:rsid w:val="009F6BBE"/>
    <w:rsid w:val="009F6C86"/>
    <w:rsid w:val="009F70F1"/>
    <w:rsid w:val="00A021E7"/>
    <w:rsid w:val="00A10FD3"/>
    <w:rsid w:val="00A13AC6"/>
    <w:rsid w:val="00A1445D"/>
    <w:rsid w:val="00A14ABE"/>
    <w:rsid w:val="00A2462D"/>
    <w:rsid w:val="00A25C67"/>
    <w:rsid w:val="00A3070E"/>
    <w:rsid w:val="00A37164"/>
    <w:rsid w:val="00A457A7"/>
    <w:rsid w:val="00A46FF5"/>
    <w:rsid w:val="00A5561B"/>
    <w:rsid w:val="00A559A0"/>
    <w:rsid w:val="00A662A1"/>
    <w:rsid w:val="00A7037B"/>
    <w:rsid w:val="00A732D8"/>
    <w:rsid w:val="00A757ED"/>
    <w:rsid w:val="00A932FD"/>
    <w:rsid w:val="00A93766"/>
    <w:rsid w:val="00A94619"/>
    <w:rsid w:val="00A97BB7"/>
    <w:rsid w:val="00AA732E"/>
    <w:rsid w:val="00AB0795"/>
    <w:rsid w:val="00AC0C9E"/>
    <w:rsid w:val="00AC68EA"/>
    <w:rsid w:val="00AD0106"/>
    <w:rsid w:val="00AD0DC5"/>
    <w:rsid w:val="00AD56C4"/>
    <w:rsid w:val="00AE645B"/>
    <w:rsid w:val="00AE655C"/>
    <w:rsid w:val="00AF649E"/>
    <w:rsid w:val="00B01978"/>
    <w:rsid w:val="00B03A4A"/>
    <w:rsid w:val="00B051BB"/>
    <w:rsid w:val="00B07F82"/>
    <w:rsid w:val="00B1036B"/>
    <w:rsid w:val="00B118B4"/>
    <w:rsid w:val="00B12F0C"/>
    <w:rsid w:val="00B17D3A"/>
    <w:rsid w:val="00B20110"/>
    <w:rsid w:val="00B258F3"/>
    <w:rsid w:val="00B30C93"/>
    <w:rsid w:val="00B37669"/>
    <w:rsid w:val="00B41813"/>
    <w:rsid w:val="00B42386"/>
    <w:rsid w:val="00B466F8"/>
    <w:rsid w:val="00B53794"/>
    <w:rsid w:val="00B60743"/>
    <w:rsid w:val="00B73B42"/>
    <w:rsid w:val="00B74B6E"/>
    <w:rsid w:val="00B74BF1"/>
    <w:rsid w:val="00B81065"/>
    <w:rsid w:val="00B83269"/>
    <w:rsid w:val="00B85D70"/>
    <w:rsid w:val="00BA089C"/>
    <w:rsid w:val="00BA153F"/>
    <w:rsid w:val="00BA3477"/>
    <w:rsid w:val="00BA7030"/>
    <w:rsid w:val="00BB036B"/>
    <w:rsid w:val="00BB13C2"/>
    <w:rsid w:val="00BB3363"/>
    <w:rsid w:val="00BB57A8"/>
    <w:rsid w:val="00BB5AFB"/>
    <w:rsid w:val="00BC525E"/>
    <w:rsid w:val="00BC63C0"/>
    <w:rsid w:val="00BC6AD6"/>
    <w:rsid w:val="00BD1F48"/>
    <w:rsid w:val="00BD4B89"/>
    <w:rsid w:val="00BD64BF"/>
    <w:rsid w:val="00BD79CA"/>
    <w:rsid w:val="00BE1F3E"/>
    <w:rsid w:val="00BE5787"/>
    <w:rsid w:val="00BE6753"/>
    <w:rsid w:val="00BE757A"/>
    <w:rsid w:val="00BF4E48"/>
    <w:rsid w:val="00C04C4B"/>
    <w:rsid w:val="00C05F5A"/>
    <w:rsid w:val="00C1117E"/>
    <w:rsid w:val="00C24899"/>
    <w:rsid w:val="00C31C09"/>
    <w:rsid w:val="00C31EA6"/>
    <w:rsid w:val="00C337DD"/>
    <w:rsid w:val="00C4667E"/>
    <w:rsid w:val="00C52B1A"/>
    <w:rsid w:val="00C555A7"/>
    <w:rsid w:val="00C60870"/>
    <w:rsid w:val="00C61AA9"/>
    <w:rsid w:val="00C620DA"/>
    <w:rsid w:val="00C81370"/>
    <w:rsid w:val="00C8725A"/>
    <w:rsid w:val="00C916BF"/>
    <w:rsid w:val="00CA203B"/>
    <w:rsid w:val="00CA47C7"/>
    <w:rsid w:val="00CB156D"/>
    <w:rsid w:val="00CB4853"/>
    <w:rsid w:val="00CC14EB"/>
    <w:rsid w:val="00CC4A4B"/>
    <w:rsid w:val="00CC5FDA"/>
    <w:rsid w:val="00CC6F07"/>
    <w:rsid w:val="00CC6F3E"/>
    <w:rsid w:val="00CD4393"/>
    <w:rsid w:val="00CE4F82"/>
    <w:rsid w:val="00CF2030"/>
    <w:rsid w:val="00CF5586"/>
    <w:rsid w:val="00D028E9"/>
    <w:rsid w:val="00D03923"/>
    <w:rsid w:val="00D04933"/>
    <w:rsid w:val="00D1635A"/>
    <w:rsid w:val="00D173E4"/>
    <w:rsid w:val="00D313A8"/>
    <w:rsid w:val="00D3389F"/>
    <w:rsid w:val="00D45DE3"/>
    <w:rsid w:val="00D466DF"/>
    <w:rsid w:val="00D47A4A"/>
    <w:rsid w:val="00D5171C"/>
    <w:rsid w:val="00D526A4"/>
    <w:rsid w:val="00D60518"/>
    <w:rsid w:val="00D6730F"/>
    <w:rsid w:val="00D712A9"/>
    <w:rsid w:val="00D7336A"/>
    <w:rsid w:val="00D8014D"/>
    <w:rsid w:val="00D855E5"/>
    <w:rsid w:val="00D9072D"/>
    <w:rsid w:val="00D94E5E"/>
    <w:rsid w:val="00D9698F"/>
    <w:rsid w:val="00D97822"/>
    <w:rsid w:val="00DA1AEB"/>
    <w:rsid w:val="00DA4F24"/>
    <w:rsid w:val="00DB1882"/>
    <w:rsid w:val="00DB1CC6"/>
    <w:rsid w:val="00DB2239"/>
    <w:rsid w:val="00DC02D6"/>
    <w:rsid w:val="00DC3663"/>
    <w:rsid w:val="00DD11BF"/>
    <w:rsid w:val="00DD32EE"/>
    <w:rsid w:val="00DD4FF3"/>
    <w:rsid w:val="00DD53B1"/>
    <w:rsid w:val="00DE3810"/>
    <w:rsid w:val="00DE4427"/>
    <w:rsid w:val="00DF65A9"/>
    <w:rsid w:val="00E00DF5"/>
    <w:rsid w:val="00E00ED1"/>
    <w:rsid w:val="00E021FF"/>
    <w:rsid w:val="00E04DDF"/>
    <w:rsid w:val="00E05808"/>
    <w:rsid w:val="00E22AC8"/>
    <w:rsid w:val="00E255EC"/>
    <w:rsid w:val="00E32269"/>
    <w:rsid w:val="00E422F9"/>
    <w:rsid w:val="00E431C6"/>
    <w:rsid w:val="00E504DA"/>
    <w:rsid w:val="00E579A9"/>
    <w:rsid w:val="00E65213"/>
    <w:rsid w:val="00E73DA3"/>
    <w:rsid w:val="00E83FEF"/>
    <w:rsid w:val="00E86FA5"/>
    <w:rsid w:val="00E9252D"/>
    <w:rsid w:val="00E97C12"/>
    <w:rsid w:val="00EA353B"/>
    <w:rsid w:val="00EA4EB1"/>
    <w:rsid w:val="00EB6023"/>
    <w:rsid w:val="00EB7507"/>
    <w:rsid w:val="00EC3E3B"/>
    <w:rsid w:val="00EE042D"/>
    <w:rsid w:val="00EE2A54"/>
    <w:rsid w:val="00EE7CA3"/>
    <w:rsid w:val="00EF1665"/>
    <w:rsid w:val="00F03D95"/>
    <w:rsid w:val="00F10106"/>
    <w:rsid w:val="00F13EBD"/>
    <w:rsid w:val="00F24EF8"/>
    <w:rsid w:val="00F30E27"/>
    <w:rsid w:val="00F34223"/>
    <w:rsid w:val="00F37A98"/>
    <w:rsid w:val="00F40529"/>
    <w:rsid w:val="00F41589"/>
    <w:rsid w:val="00F41F32"/>
    <w:rsid w:val="00F420E6"/>
    <w:rsid w:val="00F456F8"/>
    <w:rsid w:val="00F50C5A"/>
    <w:rsid w:val="00F510EF"/>
    <w:rsid w:val="00F51F05"/>
    <w:rsid w:val="00F57D74"/>
    <w:rsid w:val="00F62749"/>
    <w:rsid w:val="00F63F5A"/>
    <w:rsid w:val="00F667F9"/>
    <w:rsid w:val="00F70F1E"/>
    <w:rsid w:val="00F81EC2"/>
    <w:rsid w:val="00F85127"/>
    <w:rsid w:val="00F9006B"/>
    <w:rsid w:val="00F93403"/>
    <w:rsid w:val="00FB1536"/>
    <w:rsid w:val="00FB3EBC"/>
    <w:rsid w:val="00FB73C5"/>
    <w:rsid w:val="00FD02AA"/>
    <w:rsid w:val="00FD20AA"/>
    <w:rsid w:val="00FD2DDF"/>
    <w:rsid w:val="00FD7435"/>
    <w:rsid w:val="00FE304A"/>
    <w:rsid w:val="00FE4710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D9F45-7A1B-46BD-B98B-ACE7D8A5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1336</Words>
  <Characters>7218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2013-10-16T21:06:00Z</cp:lastPrinted>
  <dcterms:created xsi:type="dcterms:W3CDTF">2013-10-16T21:09:00Z</dcterms:created>
  <dcterms:modified xsi:type="dcterms:W3CDTF">2013-11-26T16:50:00Z</dcterms:modified>
</cp:coreProperties>
</file>