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7"/>
        <w:gridCol w:w="1637"/>
        <w:gridCol w:w="221"/>
        <w:gridCol w:w="455"/>
        <w:gridCol w:w="4345"/>
      </w:tblGrid>
      <w:tr w:rsidR="003817BE" w:rsidRPr="00A021E7" w:rsidTr="002244CF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A021E7" w:rsidRDefault="00423252" w:rsidP="005106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136417">
              <w:rPr>
                <w:rFonts w:cs="Arial"/>
                <w:b/>
              </w:rPr>
              <w:t>41</w:t>
            </w:r>
            <w:r>
              <w:rPr>
                <w:rFonts w:cs="Arial"/>
                <w:b/>
              </w:rPr>
              <w:t>ª REUNIÃO D</w:t>
            </w:r>
            <w:r w:rsidR="0022361A">
              <w:rPr>
                <w:rFonts w:cs="Arial"/>
                <w:b/>
              </w:rPr>
              <w:t xml:space="preserve">A COMISSÃO DE </w:t>
            </w:r>
            <w:r w:rsidR="00050496">
              <w:rPr>
                <w:rFonts w:cs="Arial"/>
                <w:b/>
              </w:rPr>
              <w:t>EXERCÍCIO PROFISSIONAL</w:t>
            </w:r>
          </w:p>
        </w:tc>
      </w:tr>
      <w:tr w:rsidR="003817BE" w:rsidRPr="00A021E7" w:rsidTr="002244CF">
        <w:tc>
          <w:tcPr>
            <w:tcW w:w="2627" w:type="pct"/>
            <w:gridSpan w:val="3"/>
          </w:tcPr>
          <w:p w:rsidR="003817BE" w:rsidRPr="00A021E7" w:rsidRDefault="003817BE" w:rsidP="00050496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136417">
              <w:rPr>
                <w:rFonts w:cs="Arial"/>
              </w:rPr>
              <w:t>Sala de Reunião do 4</w:t>
            </w:r>
            <w:r w:rsidR="0022361A">
              <w:rPr>
                <w:rFonts w:cs="Arial"/>
              </w:rPr>
              <w:t>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5D2D32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136417">
              <w:rPr>
                <w:rFonts w:cs="Arial"/>
              </w:rPr>
              <w:t xml:space="preserve"> 17</w:t>
            </w:r>
            <w:r w:rsidR="00E255EC" w:rsidRPr="00A021E7">
              <w:rPr>
                <w:rFonts w:cs="Arial"/>
              </w:rPr>
              <w:t>.0</w:t>
            </w:r>
            <w:r w:rsidR="00E04DDF">
              <w:rPr>
                <w:rFonts w:cs="Arial"/>
              </w:rPr>
              <w:t>7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2244CF">
        <w:tc>
          <w:tcPr>
            <w:tcW w:w="5000" w:type="pct"/>
            <w:gridSpan w:val="5"/>
            <w:shd w:val="clear" w:color="auto" w:fill="auto"/>
          </w:tcPr>
          <w:p w:rsidR="00D5171C" w:rsidRPr="00BB57A8" w:rsidRDefault="00911A77" w:rsidP="0037333D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Conselheiros:</w:t>
            </w:r>
            <w:r w:rsidR="00D8014D">
              <w:rPr>
                <w:rFonts w:cs="Arial"/>
              </w:rPr>
              <w:t xml:space="preserve"> </w:t>
            </w:r>
            <w:r w:rsidR="00136417">
              <w:rPr>
                <w:rFonts w:cs="Arial"/>
              </w:rPr>
              <w:t xml:space="preserve">Carlos Eduardo Mesquita </w:t>
            </w:r>
            <w:proofErr w:type="spellStart"/>
            <w:r w:rsidR="00136417">
              <w:rPr>
                <w:rFonts w:cs="Arial"/>
              </w:rPr>
              <w:t>Pedone</w:t>
            </w:r>
            <w:proofErr w:type="spellEnd"/>
            <w:r w:rsidR="00136417">
              <w:rPr>
                <w:rFonts w:cs="Arial"/>
              </w:rPr>
              <w:t xml:space="preserve">, </w:t>
            </w:r>
            <w:r w:rsidR="00050496" w:rsidRPr="00B93A05">
              <w:rPr>
                <w:rFonts w:cs="Arial"/>
                <w:szCs w:val="24"/>
              </w:rPr>
              <w:t xml:space="preserve">Rosana </w:t>
            </w:r>
            <w:proofErr w:type="spellStart"/>
            <w:r w:rsidR="00050496" w:rsidRPr="00B93A05">
              <w:rPr>
                <w:rFonts w:cs="Arial"/>
                <w:szCs w:val="24"/>
              </w:rPr>
              <w:t>Oppitz</w:t>
            </w:r>
            <w:proofErr w:type="spellEnd"/>
            <w:r w:rsidR="00050496" w:rsidRPr="00B93A05">
              <w:rPr>
                <w:rFonts w:cs="Arial"/>
                <w:szCs w:val="24"/>
              </w:rPr>
              <w:t xml:space="preserve">, Clarissa Monteiro </w:t>
            </w:r>
            <w:proofErr w:type="spellStart"/>
            <w:r w:rsidR="00050496" w:rsidRPr="00B93A05">
              <w:rPr>
                <w:rFonts w:cs="Arial"/>
                <w:szCs w:val="24"/>
              </w:rPr>
              <w:t>Berny</w:t>
            </w:r>
            <w:proofErr w:type="spellEnd"/>
            <w:r w:rsidR="00050496" w:rsidRPr="00B93A05">
              <w:rPr>
                <w:rFonts w:cs="Arial"/>
                <w:szCs w:val="24"/>
              </w:rPr>
              <w:t>,</w:t>
            </w:r>
            <w:r w:rsidR="00EE7CA3">
              <w:rPr>
                <w:rFonts w:cs="Arial"/>
                <w:szCs w:val="24"/>
              </w:rPr>
              <w:t xml:space="preserve"> </w:t>
            </w:r>
            <w:r w:rsidR="00474339">
              <w:rPr>
                <w:rFonts w:cs="Arial"/>
                <w:szCs w:val="24"/>
              </w:rPr>
              <w:t>Maria Bernadete</w:t>
            </w:r>
            <w:r w:rsidR="00571B8D">
              <w:rPr>
                <w:rFonts w:cs="Arial"/>
                <w:szCs w:val="24"/>
              </w:rPr>
              <w:t xml:space="preserve"> Silva de Oliveira</w:t>
            </w:r>
            <w:r w:rsidR="00EE7CA3">
              <w:rPr>
                <w:rFonts w:cs="Arial"/>
                <w:szCs w:val="24"/>
              </w:rPr>
              <w:t>,</w:t>
            </w:r>
            <w:r w:rsidR="00050496" w:rsidRPr="00B93A05">
              <w:rPr>
                <w:rFonts w:cs="Arial"/>
                <w:szCs w:val="24"/>
              </w:rPr>
              <w:t xml:space="preserve"> Agente de Fiscalização Rogério Pinto Dias de Oliveira, </w:t>
            </w:r>
            <w:r w:rsidR="00050496">
              <w:rPr>
                <w:rFonts w:cs="Arial"/>
                <w:szCs w:val="24"/>
              </w:rPr>
              <w:t xml:space="preserve">Aline Garcia Silva, </w:t>
            </w:r>
            <w:r w:rsidR="0037333D">
              <w:rPr>
                <w:rFonts w:cs="Arial"/>
                <w:szCs w:val="24"/>
              </w:rPr>
              <w:t xml:space="preserve">Ass. da Fiscalização Alessandra </w:t>
            </w:r>
            <w:proofErr w:type="spellStart"/>
            <w:r w:rsidR="0037333D">
              <w:rPr>
                <w:rFonts w:cs="Arial"/>
                <w:szCs w:val="24"/>
              </w:rPr>
              <w:t>Scalcon</w:t>
            </w:r>
            <w:proofErr w:type="spellEnd"/>
            <w:r w:rsidR="0037333D">
              <w:rPr>
                <w:rFonts w:cs="Arial"/>
                <w:szCs w:val="24"/>
              </w:rPr>
              <w:t>, Ass.</w:t>
            </w:r>
            <w:r w:rsidR="00050496" w:rsidRPr="00B93A05">
              <w:rPr>
                <w:rFonts w:cs="Arial"/>
                <w:szCs w:val="24"/>
              </w:rPr>
              <w:t xml:space="preserve"> Técnica</w:t>
            </w:r>
            <w:r w:rsidR="009404BE">
              <w:rPr>
                <w:rFonts w:cs="Arial"/>
                <w:szCs w:val="24"/>
              </w:rPr>
              <w:t xml:space="preserve"> </w:t>
            </w:r>
            <w:r w:rsidR="00A25C67">
              <w:rPr>
                <w:rFonts w:cs="Arial"/>
                <w:szCs w:val="24"/>
              </w:rPr>
              <w:t xml:space="preserve">Suzana Rosa, </w:t>
            </w:r>
            <w:r w:rsidR="00136417">
              <w:rPr>
                <w:rFonts w:cs="Arial"/>
                <w:szCs w:val="24"/>
              </w:rPr>
              <w:t xml:space="preserve">Secretário </w:t>
            </w:r>
            <w:r w:rsidR="00050496" w:rsidRPr="00B93A05">
              <w:rPr>
                <w:rFonts w:cs="Arial"/>
                <w:szCs w:val="24"/>
              </w:rPr>
              <w:t>Sérgio Gré Jr.</w:t>
            </w:r>
          </w:p>
        </w:tc>
      </w:tr>
      <w:tr w:rsidR="003817BE" w:rsidRPr="00A021E7" w:rsidTr="002244CF">
        <w:tc>
          <w:tcPr>
            <w:tcW w:w="5000" w:type="pct"/>
            <w:gridSpan w:val="5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2244CF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A021E7" w:rsidRDefault="00B53794" w:rsidP="005D2D32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BC525E">
              <w:rPr>
                <w:rFonts w:cs="Arial"/>
                <w:b/>
              </w:rPr>
              <w:t>Aprovação da</w:t>
            </w:r>
            <w:r w:rsidR="009404BE">
              <w:rPr>
                <w:rFonts w:cs="Arial"/>
                <w:b/>
              </w:rPr>
              <w:t xml:space="preserve"> Súmula</w:t>
            </w:r>
            <w:r w:rsidR="00BC525E">
              <w:rPr>
                <w:rFonts w:cs="Arial"/>
                <w:b/>
              </w:rPr>
              <w:t xml:space="preserve"> da</w:t>
            </w:r>
            <w:r w:rsidR="009404BE">
              <w:rPr>
                <w:rFonts w:cs="Arial"/>
                <w:b/>
              </w:rPr>
              <w:t xml:space="preserve"> 39</w:t>
            </w:r>
            <w:r w:rsidR="00BC525E">
              <w:rPr>
                <w:rFonts w:cs="Arial"/>
                <w:b/>
              </w:rPr>
              <w:t xml:space="preserve">ª Reunião da Comissão de </w:t>
            </w:r>
            <w:r w:rsidR="00050496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A021E7" w:rsidTr="002244CF">
        <w:tc>
          <w:tcPr>
            <w:tcW w:w="5000" w:type="pct"/>
            <w:gridSpan w:val="5"/>
            <w:shd w:val="clear" w:color="auto" w:fill="FFFFFF" w:themeFill="background1"/>
          </w:tcPr>
          <w:p w:rsidR="00EE7CA3" w:rsidRPr="006136C2" w:rsidRDefault="009404BE" w:rsidP="006136C2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/>
                <w:color w:val="000000"/>
              </w:rPr>
              <w:t>A</w:t>
            </w:r>
            <w:r w:rsidR="00136417">
              <w:rPr>
                <w:rFonts w:ascii="Calibri" w:eastAsia="Times New Roman" w:hAnsi="Calibri"/>
                <w:color w:val="000000"/>
              </w:rPr>
              <w:t>s</w:t>
            </w:r>
            <w:r>
              <w:rPr>
                <w:rFonts w:ascii="Calibri" w:eastAsia="Times New Roman" w:hAnsi="Calibri"/>
                <w:color w:val="000000"/>
              </w:rPr>
              <w:t xml:space="preserve"> Súmula</w:t>
            </w:r>
            <w:r w:rsidR="00136417">
              <w:rPr>
                <w:rFonts w:ascii="Calibri" w:eastAsia="Times New Roman" w:hAnsi="Calibri"/>
                <w:color w:val="000000"/>
              </w:rPr>
              <w:t>s</w:t>
            </w:r>
            <w:r>
              <w:rPr>
                <w:rFonts w:ascii="Calibri" w:eastAsia="Times New Roman" w:hAnsi="Calibri"/>
                <w:color w:val="000000"/>
              </w:rPr>
              <w:t xml:space="preserve"> da</w:t>
            </w:r>
            <w:r w:rsidR="00136417">
              <w:rPr>
                <w:rFonts w:ascii="Calibri" w:eastAsia="Times New Roman" w:hAnsi="Calibri"/>
                <w:color w:val="000000"/>
              </w:rPr>
              <w:t>s</w:t>
            </w:r>
            <w:r>
              <w:rPr>
                <w:rFonts w:ascii="Calibri" w:eastAsia="Times New Roman" w:hAnsi="Calibri"/>
                <w:color w:val="000000"/>
              </w:rPr>
              <w:t xml:space="preserve"> 39ª</w:t>
            </w:r>
            <w:r w:rsidR="00136417">
              <w:rPr>
                <w:rFonts w:ascii="Calibri" w:eastAsia="Times New Roman" w:hAnsi="Calibri"/>
                <w:color w:val="000000"/>
              </w:rPr>
              <w:t xml:space="preserve"> e 40ª Reunião da CEP/RS foram aprovadas</w:t>
            </w:r>
            <w:r>
              <w:rPr>
                <w:rFonts w:ascii="Calibri" w:eastAsia="Times New Roman" w:hAnsi="Calibri"/>
                <w:color w:val="000000"/>
              </w:rPr>
              <w:t xml:space="preserve">. </w:t>
            </w:r>
          </w:p>
          <w:p w:rsidR="006136C2" w:rsidRPr="00EE7CA3" w:rsidRDefault="006136C2" w:rsidP="006136C2">
            <w:pPr>
              <w:jc w:val="both"/>
              <w:rPr>
                <w:rFonts w:cs="Arial"/>
              </w:rPr>
            </w:pP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C000"/>
            <w:vAlign w:val="center"/>
          </w:tcPr>
          <w:p w:rsidR="00A10FD3" w:rsidRPr="00A021E7" w:rsidRDefault="00B60743" w:rsidP="0005049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7B6A45">
              <w:rPr>
                <w:rFonts w:cs="Arial"/>
                <w:b/>
              </w:rPr>
              <w:t xml:space="preserve">Balanço do </w:t>
            </w:r>
            <w:r>
              <w:rPr>
                <w:rFonts w:cs="Arial"/>
                <w:b/>
              </w:rPr>
              <w:t>Programa de Fiscalização</w:t>
            </w:r>
          </w:p>
        </w:tc>
      </w:tr>
      <w:tr w:rsidR="00A10FD3" w:rsidRPr="00A021E7" w:rsidTr="002244CF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6315B1" w:rsidRDefault="006315B1" w:rsidP="00DD32EE">
            <w:pPr>
              <w:jc w:val="both"/>
            </w:pPr>
          </w:p>
          <w:p w:rsidR="00AD0106" w:rsidRDefault="003354E3" w:rsidP="00005FFA">
            <w:pPr>
              <w:jc w:val="both"/>
            </w:pPr>
            <w:r>
              <w:t xml:space="preserve">Agente Fiscal Rogério comentou sobre o formato da apresentação do Balanço do Programa da Fiscalização, que será objetivo e deixando as dúvidas </w:t>
            </w:r>
            <w:r w:rsidR="00B12F0C">
              <w:t>par</w:t>
            </w:r>
            <w:r>
              <w:t xml:space="preserve">a serem respondidas no final.  Ass. Alessandra </w:t>
            </w:r>
            <w:r w:rsidR="0062283C">
              <w:t xml:space="preserve">apresentou os slides da apresentação. Conselheira Rosana solicitou numerar os slides até para facilitar na hora de retomar o conteúdo para responder as perguntas do Plenário. </w:t>
            </w:r>
            <w:r w:rsidR="00AD0106">
              <w:t>Os Conselheiros terão uma cópia à disposição para consulta</w:t>
            </w:r>
          </w:p>
          <w:p w:rsidR="00D466DF" w:rsidRDefault="0062283C" w:rsidP="00005FFA">
            <w:pPr>
              <w:jc w:val="both"/>
            </w:pPr>
            <w:r>
              <w:t>A Comissão solicitou algumas alterações na apresentação, como um melhor esclarecimento sobre o número de empresas cadastradas no SICCAU</w:t>
            </w:r>
            <w:r w:rsidR="003762F4">
              <w:t xml:space="preserve">. </w:t>
            </w:r>
            <w:r w:rsidR="00A932FD">
              <w:t xml:space="preserve"> A Funcionária Anne explicou que o registro de empres</w:t>
            </w:r>
            <w:r w:rsidR="009F70F1">
              <w:t>as durante a instalação do CAU</w:t>
            </w:r>
            <w:r w:rsidR="00591781">
              <w:t xml:space="preserve"> era feit</w:t>
            </w:r>
            <w:r w:rsidR="006677F0">
              <w:t xml:space="preserve">o através da certidão do </w:t>
            </w:r>
            <w:proofErr w:type="gramStart"/>
            <w:r w:rsidR="006677F0">
              <w:t>Crea</w:t>
            </w:r>
            <w:proofErr w:type="gramEnd"/>
            <w:r w:rsidR="006677F0">
              <w:t>.</w:t>
            </w:r>
          </w:p>
          <w:p w:rsidR="003354E3" w:rsidRDefault="00CC6F3E" w:rsidP="00005FFA">
            <w:pPr>
              <w:jc w:val="both"/>
            </w:pPr>
            <w:bookmarkStart w:id="0" w:name="_GoBack"/>
            <w:bookmarkEnd w:id="0"/>
            <w:r>
              <w:t xml:space="preserve">Ass. </w:t>
            </w:r>
            <w:proofErr w:type="spellStart"/>
            <w:r>
              <w:t>Maríndia</w:t>
            </w:r>
            <w:proofErr w:type="spellEnd"/>
            <w:r>
              <w:t xml:space="preserve"> informou que em agosto iniciará o processo de recadastramento das empresas no CAU.</w:t>
            </w:r>
          </w:p>
          <w:p w:rsidR="003762F4" w:rsidRDefault="00AD0106" w:rsidP="00005FFA">
            <w:pPr>
              <w:jc w:val="both"/>
            </w:pPr>
            <w:r>
              <w:t xml:space="preserve">Citando o </w:t>
            </w:r>
            <w:r w:rsidR="003762F4">
              <w:t>alto índice denúncias no SICCAU</w:t>
            </w:r>
            <w:r w:rsidR="007D6F56">
              <w:t xml:space="preserve"> que não puderam ser r</w:t>
            </w:r>
            <w:r>
              <w:t>esolvidas, Agente Rogério realçou</w:t>
            </w:r>
            <w:r w:rsidR="007D6F56">
              <w:t xml:space="preserve"> que os slides colocam todos os motivos</w:t>
            </w:r>
            <w:r w:rsidR="00641C98">
              <w:t xml:space="preserve"> (falta de informações, denúncias que são </w:t>
            </w:r>
            <w:proofErr w:type="gramStart"/>
            <w:r w:rsidR="00641C98">
              <w:t>só</w:t>
            </w:r>
            <w:proofErr w:type="gramEnd"/>
            <w:r w:rsidR="00641C98">
              <w:t xml:space="preserve"> reclamações). Ass. Alessandra disse que esse tipo de denúncia pode ser desativado</w:t>
            </w:r>
            <w:r w:rsidR="007D6F56">
              <w:t xml:space="preserve"> </w:t>
            </w:r>
            <w:r w:rsidR="00641C98">
              <w:t xml:space="preserve">no SICCAU. </w:t>
            </w:r>
          </w:p>
          <w:p w:rsidR="00641C98" w:rsidRDefault="00641C98" w:rsidP="00005FFA">
            <w:pPr>
              <w:jc w:val="both"/>
            </w:pPr>
            <w:r>
              <w:t>Conselheira Rosana</w:t>
            </w:r>
            <w:r w:rsidR="00CC6F3E">
              <w:t xml:space="preserve"> frisou a importância de citar serviços futuros para embasar mais a necessidade de novos fiscais. </w:t>
            </w:r>
            <w:r w:rsidR="00AD0106">
              <w:t xml:space="preserve"> </w:t>
            </w:r>
          </w:p>
          <w:p w:rsidR="00AD0106" w:rsidRDefault="00AD0106" w:rsidP="00005FFA">
            <w:pPr>
              <w:jc w:val="both"/>
            </w:pPr>
            <w:r>
              <w:t xml:space="preserve">Sobre a nomenclatura do Plano de Fiscalização, a Comissão decidiu pelo termo Anteprojeto, que foi sugerido pela Conselheira Bernadete. </w:t>
            </w:r>
          </w:p>
          <w:p w:rsidR="003354E3" w:rsidRDefault="00AD0106" w:rsidP="00DD32EE">
            <w:pPr>
              <w:jc w:val="both"/>
            </w:pPr>
            <w:r>
              <w:t xml:space="preserve">Em relação aos </w:t>
            </w:r>
            <w:r w:rsidR="00CC6F3E">
              <w:t xml:space="preserve">processos de denúncias que estão no </w:t>
            </w:r>
            <w:proofErr w:type="gramStart"/>
            <w:r w:rsidR="00CC6F3E">
              <w:t>Crea</w:t>
            </w:r>
            <w:proofErr w:type="gramEnd"/>
            <w:r w:rsidR="00CC6F3E">
              <w:t xml:space="preserve">, Ass. </w:t>
            </w:r>
            <w:proofErr w:type="spellStart"/>
            <w:r w:rsidR="00CC6F3E">
              <w:t>Maríndia</w:t>
            </w:r>
            <w:proofErr w:type="spellEnd"/>
            <w:r w:rsidR="00CC6F3E">
              <w:t xml:space="preserve"> informou que esteve presente numa reunião sobre assunto, mas que o CAU/RS não tem informações sobre o número exato de processos e nem de uma previsão de entrega. </w:t>
            </w:r>
          </w:p>
          <w:p w:rsidR="003354E3" w:rsidRPr="00603AD4" w:rsidRDefault="003354E3" w:rsidP="00DD32EE">
            <w:pPr>
              <w:jc w:val="both"/>
              <w:rPr>
                <w:i/>
              </w:rPr>
            </w:pPr>
          </w:p>
        </w:tc>
      </w:tr>
      <w:tr w:rsidR="00A10FD3" w:rsidRPr="00A021E7" w:rsidTr="002244CF">
        <w:trPr>
          <w:trHeight w:val="201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136417" w:rsidP="00DF1E9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Decisão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021E7" w:rsidRDefault="00A10FD3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A10FD3" w:rsidRPr="00A021E7" w:rsidTr="002244CF">
        <w:trPr>
          <w:trHeight w:val="250"/>
        </w:trPr>
        <w:tc>
          <w:tcPr>
            <w:tcW w:w="251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136417" w:rsidP="00136417">
            <w:pPr>
              <w:tabs>
                <w:tab w:val="left" w:pos="34"/>
              </w:tabs>
              <w:ind w:left="34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Realizar os ajustes na </w:t>
            </w:r>
            <w:r w:rsidR="00904AA9">
              <w:rPr>
                <w:rFonts w:cs="Arial"/>
              </w:rPr>
              <w:t xml:space="preserve">apresentação do </w:t>
            </w:r>
            <w:r w:rsidR="002244CF">
              <w:rPr>
                <w:rFonts w:cs="Arial"/>
              </w:rPr>
              <w:t xml:space="preserve">Balanço da Fiscalização </w:t>
            </w:r>
            <w:r>
              <w:rPr>
                <w:rFonts w:cs="Arial"/>
              </w:rPr>
              <w:t>para a</w:t>
            </w:r>
            <w:r w:rsidR="00904AA9">
              <w:rPr>
                <w:rFonts w:cs="Arial"/>
              </w:rPr>
              <w:t xml:space="preserve"> Plenária. </w:t>
            </w:r>
          </w:p>
        </w:tc>
        <w:tc>
          <w:tcPr>
            <w:tcW w:w="24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FD3" w:rsidRPr="00A10FD3" w:rsidRDefault="004C78A1" w:rsidP="002244CF">
            <w:pPr>
              <w:tabs>
                <w:tab w:val="left" w:pos="3343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244CF">
              <w:rPr>
                <w:rFonts w:cs="Arial"/>
              </w:rPr>
              <w:t>gentes Fiscais</w:t>
            </w:r>
            <w:r w:rsidR="00136417">
              <w:rPr>
                <w:rFonts w:cs="Arial"/>
              </w:rPr>
              <w:t>/Alessandra</w:t>
            </w:r>
          </w:p>
        </w:tc>
      </w:tr>
      <w:tr w:rsidR="00622C08" w:rsidRPr="00A021E7" w:rsidTr="009219B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622C08" w:rsidRDefault="00622C08" w:rsidP="009219B2">
            <w:pPr>
              <w:jc w:val="both"/>
              <w:rPr>
                <w:rFonts w:cs="Arial"/>
                <w:b/>
              </w:rPr>
            </w:pPr>
            <w:r w:rsidRPr="00622C08">
              <w:rPr>
                <w:rFonts w:cs="Arial"/>
                <w:b/>
              </w:rPr>
              <w:t xml:space="preserve">3. </w:t>
            </w:r>
            <w:r w:rsidR="009219B2">
              <w:rPr>
                <w:rFonts w:cs="Arial"/>
                <w:b/>
              </w:rPr>
              <w:t>Processos de RRT</w:t>
            </w:r>
          </w:p>
        </w:tc>
      </w:tr>
      <w:tr w:rsidR="00756D20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C6" w:rsidRPr="00C81370" w:rsidRDefault="009B1FC6" w:rsidP="009B1FC6">
            <w:pPr>
              <w:shd w:val="clear" w:color="auto" w:fill="FFFFFF"/>
              <w:spacing w:before="100" w:beforeAutospacing="1" w:after="100" w:afterAutospacing="1"/>
              <w:rPr>
                <w:rFonts w:ascii="Calibri" w:hAnsi="Calibri"/>
              </w:rPr>
            </w:pPr>
            <w:r w:rsidRPr="00C81370">
              <w:rPr>
                <w:rFonts w:ascii="Calibri" w:hAnsi="Calibri"/>
              </w:rPr>
              <w:t>A Comissão deliberou os seguintes processos:</w:t>
            </w:r>
            <w:proofErr w:type="gramStart"/>
            <w:r w:rsidRPr="00C81370">
              <w:rPr>
                <w:rFonts w:ascii="Calibri" w:hAnsi="Calibri"/>
              </w:rPr>
              <w:t xml:space="preserve">  </w:t>
            </w:r>
          </w:p>
          <w:p w:rsidR="00136417" w:rsidRDefault="009B1FC6" w:rsidP="00136417">
            <w:pPr>
              <w:shd w:val="clear" w:color="auto" w:fill="FFFFFF"/>
              <w:spacing w:before="100" w:beforeAutospacing="1" w:after="100" w:afterAutospacing="1"/>
              <w:rPr>
                <w:rFonts w:ascii="Calibri" w:hAnsi="Calibri"/>
                <w:b/>
              </w:rPr>
            </w:pPr>
            <w:proofErr w:type="gramEnd"/>
            <w:r w:rsidRPr="00C81370">
              <w:rPr>
                <w:rFonts w:ascii="Calibri" w:hAnsi="Calibri"/>
                <w:b/>
              </w:rPr>
              <w:t xml:space="preserve">Cancelamento: </w:t>
            </w:r>
          </w:p>
          <w:p w:rsidR="00136417" w:rsidRDefault="00136417" w:rsidP="00136417">
            <w:pPr>
              <w:pStyle w:val="SemEspaamento"/>
            </w:pPr>
            <w:r>
              <w:t xml:space="preserve">Proc. 68165/2013 </w:t>
            </w:r>
          </w:p>
          <w:p w:rsidR="00136417" w:rsidRPr="00136417" w:rsidRDefault="00136417" w:rsidP="00136417">
            <w:pPr>
              <w:pStyle w:val="SemEspaamento"/>
              <w:rPr>
                <w:rFonts w:ascii="Calibri" w:hAnsi="Calibri"/>
                <w:b/>
              </w:rPr>
            </w:pPr>
            <w:r>
              <w:t xml:space="preserve">Proc. 68362/2013 </w:t>
            </w:r>
          </w:p>
          <w:p w:rsidR="00136417" w:rsidRDefault="00136417" w:rsidP="009B1FC6">
            <w:pPr>
              <w:pStyle w:val="SemEspaamento"/>
            </w:pPr>
            <w:r>
              <w:t xml:space="preserve"> </w:t>
            </w:r>
          </w:p>
          <w:p w:rsidR="009B1FC6" w:rsidRPr="00C81370" w:rsidRDefault="009B1FC6" w:rsidP="009B1FC6">
            <w:pPr>
              <w:pStyle w:val="SemEspaamento"/>
              <w:rPr>
                <w:b/>
              </w:rPr>
            </w:pPr>
            <w:r w:rsidRPr="00C81370">
              <w:rPr>
                <w:b/>
              </w:rPr>
              <w:t>Extemporâneo:</w:t>
            </w:r>
          </w:p>
          <w:p w:rsidR="009B1FC6" w:rsidRDefault="00136417" w:rsidP="007B6A4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68301/2013 </w:t>
            </w:r>
          </w:p>
          <w:p w:rsidR="00136417" w:rsidRDefault="00136417" w:rsidP="007B6A45">
            <w:pPr>
              <w:jc w:val="both"/>
              <w:rPr>
                <w:rFonts w:cs="Arial"/>
              </w:rPr>
            </w:pPr>
          </w:p>
          <w:p w:rsidR="00136417" w:rsidRDefault="00136417" w:rsidP="007B6A45">
            <w:pPr>
              <w:jc w:val="both"/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>A Arq. Suzana Rosa consultou a Comissão a respeito de uma situação que o Setor de RRT tem verificado por ocasião da análise de RRT para fins de baixa por conclusão, e consequentemente</w:t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>,</w:t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inserção no Acervo do Profissional, a inserção de atividade no campo “Descrição” para qual existe uma definição formal de que o Arquiteto não possui At</w:t>
            </w:r>
            <w:r w:rsidR="00E9252D"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ribuição, citando como </w:t>
            </w:r>
            <w:proofErr w:type="gramStart"/>
            <w:r w:rsidR="00E9252D"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>exemplo, Projeto</w:t>
            </w:r>
            <w:proofErr w:type="gramEnd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de SPDA, questiona se nestes casos</w:t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>,</w:t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os analistas devem solicitar ao arquiteto que registre um RRT Retificador do inicial retirando a atividade, uma vez que não é possível retirá-la apenas do Acervo, pois a inserção no Acervo se dá automaticamente. A Comissão concordou que seja exigida a retificação.</w:t>
            </w:r>
            <w:r w:rsidR="00654AA9"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9219B2" w:rsidRPr="00C555A7" w:rsidRDefault="00654AA9" w:rsidP="00C555A7">
            <w:pPr>
              <w:pBdr>
                <w:bottom w:val="single" w:sz="4" w:space="1" w:color="auto"/>
              </w:pBdr>
              <w:jc w:val="both"/>
              <w:rPr>
                <w:rFonts w:cs="Arial"/>
                <w:color w:val="000000" w:themeColor="text1"/>
              </w:rPr>
            </w:pPr>
            <w:r>
              <w:br/>
            </w:r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Foi solicitado pela Arquiteta Suzana, </w:t>
            </w:r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t>autorização da Comissão de Exercício Profissional</w:t>
            </w:r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t>,</w:t>
            </w:r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para que </w:t>
            </w:r>
            <w:proofErr w:type="gramStart"/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t>um dos Agentes Fiscais verifiquem</w:t>
            </w:r>
            <w:proofErr w:type="gramEnd"/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a real conclusão de uma obra, para qual está sendo solicitada a baixa com fins </w:t>
            </w:r>
            <w:r w:rsidRPr="00654AA9">
              <w:rPr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de protocolar Certidão de Acervo com Atestado. Isto porque, ocorreram diversos fatos relacionados com esta empresa em caso anterior e neste novamente outros fatos ocorrem que caracterizam indícios de que a obra em questão não está concluída, tendo sido inclusive anexado pela empresa por engano da empresa um Atestado com data de início da obra recente. A Comissão concordou com o encaminhamento.</w:t>
            </w:r>
          </w:p>
        </w:tc>
      </w:tr>
      <w:tr w:rsidR="00D1635A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D526A4" w:rsidRDefault="0083360A" w:rsidP="009219B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4.</w:t>
            </w:r>
            <w:r w:rsidR="006A5B83">
              <w:rPr>
                <w:rFonts w:cs="Arial"/>
                <w:b/>
              </w:rPr>
              <w:t xml:space="preserve"> </w:t>
            </w:r>
            <w:r w:rsidR="009219B2">
              <w:rPr>
                <w:rFonts w:cs="Arial"/>
                <w:b/>
              </w:rPr>
              <w:t>Termos de Cooperação</w:t>
            </w:r>
          </w:p>
        </w:tc>
      </w:tr>
      <w:tr w:rsidR="002D77C9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60A" w:rsidRDefault="0083360A" w:rsidP="0083360A">
            <w:pPr>
              <w:rPr>
                <w:rFonts w:cs="Arial"/>
              </w:rPr>
            </w:pPr>
          </w:p>
          <w:p w:rsidR="00603AD4" w:rsidRDefault="009219B2" w:rsidP="008369D8">
            <w:pPr>
              <w:rPr>
                <w:rFonts w:cs="Arial"/>
              </w:rPr>
            </w:pPr>
            <w:r>
              <w:rPr>
                <w:rFonts w:cs="Arial"/>
              </w:rPr>
              <w:t xml:space="preserve">Sobre o município de Bento Gonçalves, que acenou positivamente para a assinatura do Termo, porém solicitou a presença dos Agentes Fiscais do CAU para esclarecer algumas dúvidas por parte do Arquiteto Luciano </w:t>
            </w:r>
            <w:proofErr w:type="spellStart"/>
            <w:r>
              <w:rPr>
                <w:rFonts w:cs="Arial"/>
              </w:rPr>
              <w:t>Estivalet</w:t>
            </w:r>
            <w:proofErr w:type="spellEnd"/>
            <w:r>
              <w:rPr>
                <w:rFonts w:cs="Arial"/>
              </w:rPr>
              <w:t xml:space="preserve">,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sugeriu que essa reunião seja marcada de forma alinhada à agenda do Presidente Roberto </w:t>
            </w:r>
            <w:proofErr w:type="spellStart"/>
            <w:r>
              <w:rPr>
                <w:rFonts w:cs="Arial"/>
              </w:rPr>
              <w:t>Py</w:t>
            </w:r>
            <w:proofErr w:type="spellEnd"/>
            <w:r>
              <w:rPr>
                <w:rFonts w:cs="Arial"/>
              </w:rPr>
              <w:t xml:space="preserve">, para que o mesmo também possa estar presente. </w:t>
            </w:r>
          </w:p>
          <w:p w:rsidR="009219B2" w:rsidRDefault="00654AA9" w:rsidP="008369D8">
            <w:pPr>
              <w:rPr>
                <w:rFonts w:cs="Arial"/>
              </w:rPr>
            </w:pPr>
            <w:r>
              <w:rPr>
                <w:rFonts w:cs="Arial"/>
              </w:rPr>
              <w:t xml:space="preserve">Em relação aos </w:t>
            </w:r>
            <w:r w:rsidR="009219B2">
              <w:rPr>
                <w:rFonts w:cs="Arial"/>
              </w:rPr>
              <w:t xml:space="preserve">demais municípios, Ass. Alessandra informou </w:t>
            </w:r>
            <w:r w:rsidR="00115E8C">
              <w:rPr>
                <w:rFonts w:cs="Arial"/>
              </w:rPr>
              <w:t xml:space="preserve">que segue fazendo contatos para acompanhar a tramitação. </w:t>
            </w:r>
          </w:p>
          <w:p w:rsidR="00603AD4" w:rsidRPr="0083360A" w:rsidRDefault="00603AD4" w:rsidP="008369D8"/>
        </w:tc>
      </w:tr>
      <w:tr w:rsidR="00654AA9" w:rsidRPr="00A021E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654AA9" w:rsidTr="00654AA9">
              <w:tc>
                <w:tcPr>
                  <w:tcW w:w="4942" w:type="dxa"/>
                </w:tcPr>
                <w:p w:rsidR="00654AA9" w:rsidRPr="00C555A7" w:rsidRDefault="00C555A7" w:rsidP="0083360A">
                  <w:pPr>
                    <w:rPr>
                      <w:rFonts w:cs="Arial"/>
                      <w:b/>
                    </w:rPr>
                  </w:pPr>
                  <w:r w:rsidRPr="00C555A7">
                    <w:rPr>
                      <w:rFonts w:cs="Arial"/>
                      <w:b/>
                    </w:rPr>
                    <w:t>Decisão</w:t>
                  </w:r>
                </w:p>
              </w:tc>
              <w:tc>
                <w:tcPr>
                  <w:tcW w:w="4942" w:type="dxa"/>
                </w:tcPr>
                <w:p w:rsidR="00654AA9" w:rsidRPr="00C555A7" w:rsidRDefault="00C555A7" w:rsidP="0083360A">
                  <w:pPr>
                    <w:rPr>
                      <w:rFonts w:cs="Arial"/>
                      <w:b/>
                    </w:rPr>
                  </w:pPr>
                  <w:r w:rsidRPr="00C555A7">
                    <w:rPr>
                      <w:rFonts w:cs="Arial"/>
                      <w:b/>
                    </w:rPr>
                    <w:t>Providências/Responsável</w:t>
                  </w:r>
                </w:p>
              </w:tc>
            </w:tr>
            <w:tr w:rsidR="00654AA9" w:rsidTr="00654AA9">
              <w:tc>
                <w:tcPr>
                  <w:tcW w:w="4942" w:type="dxa"/>
                </w:tcPr>
                <w:p w:rsidR="00654AA9" w:rsidRDefault="00654AA9" w:rsidP="0083360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Alinhar junto à Presidência uma agenda para assinatura do Termo em Bento Gonçalves</w:t>
                  </w:r>
                </w:p>
              </w:tc>
              <w:tc>
                <w:tcPr>
                  <w:tcW w:w="4942" w:type="dxa"/>
                </w:tcPr>
                <w:p w:rsidR="00654AA9" w:rsidRDefault="00654AA9" w:rsidP="0083360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Alessandra</w:t>
                  </w:r>
                </w:p>
              </w:tc>
            </w:tr>
          </w:tbl>
          <w:p w:rsidR="00654AA9" w:rsidRDefault="00654AA9" w:rsidP="0083360A">
            <w:pPr>
              <w:rPr>
                <w:rFonts w:cs="Arial"/>
              </w:rPr>
            </w:pPr>
          </w:p>
        </w:tc>
      </w:tr>
      <w:tr w:rsidR="00622C08" w:rsidRPr="00845E07" w:rsidTr="00622C08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BA153F" w:rsidRDefault="00115E8C" w:rsidP="0068030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622C08" w:rsidRPr="00BA153F">
              <w:rPr>
                <w:rFonts w:cs="Arial"/>
                <w:b/>
              </w:rPr>
              <w:t>. Assuntos Gerais</w:t>
            </w:r>
          </w:p>
        </w:tc>
      </w:tr>
      <w:tr w:rsidR="00622C08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C08" w:rsidRDefault="00622C08" w:rsidP="00680306">
            <w:pPr>
              <w:jc w:val="both"/>
              <w:rPr>
                <w:rFonts w:cs="Arial"/>
              </w:rPr>
            </w:pPr>
          </w:p>
          <w:p w:rsidR="00742F8F" w:rsidRDefault="00BA153F" w:rsidP="00BA153F">
            <w:r>
              <w:rPr>
                <w:rFonts w:cs="Arial"/>
              </w:rPr>
              <w:t xml:space="preserve">Conselheira Rosana </w:t>
            </w:r>
            <w:r w:rsidR="00115E8C">
              <w:rPr>
                <w:rFonts w:cs="Arial"/>
              </w:rPr>
              <w:t>solicitou que seja encaminhado</w:t>
            </w:r>
            <w:r>
              <w:rPr>
                <w:rFonts w:cs="Arial"/>
              </w:rPr>
              <w:t xml:space="preserve"> ao Diretor Geral</w:t>
            </w:r>
            <w:r w:rsidR="00115E8C">
              <w:rPr>
                <w:rFonts w:cs="Arial"/>
              </w:rPr>
              <w:t xml:space="preserve">/ Presidente um memorando sobre o Processo Porto Cais Mauá, solicitando informações sobre o andamento e o encaminhamento deste à CEP, para que sejam tomadas as devidas providências.  Conselheiro </w:t>
            </w:r>
            <w:proofErr w:type="spellStart"/>
            <w:r w:rsidR="00115E8C">
              <w:rPr>
                <w:rFonts w:cs="Arial"/>
              </w:rPr>
              <w:t>Pedone</w:t>
            </w:r>
            <w:proofErr w:type="spellEnd"/>
            <w:r w:rsidR="00115E8C">
              <w:rPr>
                <w:rFonts w:cs="Arial"/>
              </w:rPr>
              <w:t xml:space="preserve"> solicitou que o memorando seja redigido para que possa ser assinado e encaminhado. </w:t>
            </w:r>
          </w:p>
          <w:p w:rsidR="00136417" w:rsidRDefault="00136417" w:rsidP="00BA153F"/>
          <w:p w:rsidR="00136417" w:rsidRDefault="00136417" w:rsidP="00BA153F">
            <w:r>
              <w:t xml:space="preserve">Secretário Sérgio informou que a Deliberação sobre o Designer Marcelo </w:t>
            </w:r>
            <w:proofErr w:type="spellStart"/>
            <w:r>
              <w:t>Rosembaum</w:t>
            </w:r>
            <w:proofErr w:type="spellEnd"/>
            <w:r>
              <w:t xml:space="preserve"> já foi entregue à Ass. Jurídica do CAU/RS.</w:t>
            </w:r>
            <w:r w:rsidR="00C555A7">
              <w:t xml:space="preserve"> </w:t>
            </w:r>
          </w:p>
          <w:p w:rsidR="00C555A7" w:rsidRDefault="00C555A7" w:rsidP="00BA153F"/>
          <w:p w:rsidR="00C555A7" w:rsidRDefault="00C555A7" w:rsidP="00C555A7">
            <w:r>
              <w:t xml:space="preserve">A próxima reunião ficou agendada para o dia 25/07.  </w:t>
            </w:r>
          </w:p>
          <w:p w:rsidR="00C555A7" w:rsidRDefault="00C555A7" w:rsidP="00BA153F"/>
          <w:p w:rsidR="00622C08" w:rsidRDefault="00622C08" w:rsidP="00115E8C">
            <w:pPr>
              <w:rPr>
                <w:rFonts w:cs="Arial"/>
              </w:rPr>
            </w:pPr>
          </w:p>
        </w:tc>
      </w:tr>
      <w:tr w:rsidR="00742F8F" w:rsidRPr="00845E07" w:rsidTr="002244CF">
        <w:trPr>
          <w:trHeight w:val="10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42"/>
              <w:gridCol w:w="4942"/>
            </w:tblGrid>
            <w:tr w:rsidR="00742F8F" w:rsidTr="00742F8F">
              <w:tc>
                <w:tcPr>
                  <w:tcW w:w="4942" w:type="dxa"/>
                  <w:shd w:val="clear" w:color="auto" w:fill="FFC000"/>
                </w:tcPr>
                <w:p w:rsidR="00742F8F" w:rsidRPr="00742F8F" w:rsidRDefault="00136417" w:rsidP="009515D5">
                  <w:pPr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Decisão</w:t>
                  </w:r>
                </w:p>
              </w:tc>
              <w:tc>
                <w:tcPr>
                  <w:tcW w:w="4942" w:type="dxa"/>
                  <w:shd w:val="clear" w:color="auto" w:fill="FFC000"/>
                </w:tcPr>
                <w:p w:rsidR="00742F8F" w:rsidRPr="00742F8F" w:rsidRDefault="00136417" w:rsidP="00680306">
                  <w:pPr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Providências/</w:t>
                  </w:r>
                  <w:r w:rsidR="00742F8F" w:rsidRPr="00742F8F">
                    <w:rPr>
                      <w:rFonts w:cs="Arial"/>
                      <w:b/>
                    </w:rPr>
                    <w:t>Responsável</w:t>
                  </w:r>
                </w:p>
              </w:tc>
            </w:tr>
            <w:tr w:rsidR="00742F8F" w:rsidTr="00742F8F">
              <w:tc>
                <w:tcPr>
                  <w:tcW w:w="4942" w:type="dxa"/>
                </w:tcPr>
                <w:p w:rsidR="00742F8F" w:rsidRDefault="00742F8F" w:rsidP="009B1FC6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Encaminhar ao Diretor Geral</w:t>
                  </w:r>
                  <w:r w:rsidR="009B1FC6">
                    <w:rPr>
                      <w:rFonts w:cs="Arial"/>
                    </w:rPr>
                    <w:t>/Presidência</w:t>
                  </w:r>
                  <w:r>
                    <w:rPr>
                      <w:rFonts w:cs="Arial"/>
                    </w:rPr>
                    <w:t xml:space="preserve"> </w:t>
                  </w:r>
                  <w:r w:rsidR="009B1FC6">
                    <w:rPr>
                      <w:rFonts w:cs="Arial"/>
                    </w:rPr>
                    <w:t>o memorando solicitando informações sobre o processo do Porto Cais Mauá</w:t>
                  </w:r>
                </w:p>
              </w:tc>
              <w:tc>
                <w:tcPr>
                  <w:tcW w:w="4942" w:type="dxa"/>
                </w:tcPr>
                <w:p w:rsidR="00742F8F" w:rsidRDefault="009B1FC6" w:rsidP="00680306">
                  <w:pPr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Ass. </w:t>
                  </w:r>
                  <w:proofErr w:type="spellStart"/>
                  <w:r>
                    <w:rPr>
                      <w:rFonts w:cs="Arial"/>
                    </w:rPr>
                    <w:t>Maríndia</w:t>
                  </w:r>
                  <w:proofErr w:type="spellEnd"/>
                </w:p>
              </w:tc>
            </w:tr>
          </w:tbl>
          <w:p w:rsidR="00742F8F" w:rsidRDefault="00742F8F" w:rsidP="00680306">
            <w:pPr>
              <w:jc w:val="both"/>
              <w:rPr>
                <w:rFonts w:cs="Arial"/>
              </w:rPr>
            </w:pPr>
          </w:p>
        </w:tc>
      </w:tr>
      <w:tr w:rsidR="001F218C" w:rsidRPr="00A021E7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560E35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EE7CA3" w:rsidRDefault="00E97C12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Pr="00EE7CA3" w:rsidRDefault="00E97C12" w:rsidP="008A1B96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E35" w:rsidRDefault="00560E35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97C12" w:rsidRDefault="00E97C12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066DC9" w:rsidRDefault="00066DC9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Rosana </w:t>
            </w:r>
            <w:proofErr w:type="spellStart"/>
            <w:r w:rsidRPr="00EE7CA3">
              <w:rPr>
                <w:rFonts w:cs="Arial"/>
              </w:rPr>
              <w:t>Oppitz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 xml:space="preserve">Clarissa Monteiro </w:t>
            </w:r>
            <w:proofErr w:type="spellStart"/>
            <w:r w:rsidRPr="00EE7CA3">
              <w:rPr>
                <w:rFonts w:cs="Arial"/>
              </w:rPr>
              <w:t>Berny</w:t>
            </w:r>
            <w:proofErr w:type="spellEnd"/>
          </w:p>
          <w:p w:rsidR="001F218C" w:rsidRPr="00EE7CA3" w:rsidRDefault="001F218C" w:rsidP="008A1B96">
            <w:pPr>
              <w:rPr>
                <w:rFonts w:cs="Arial"/>
              </w:rPr>
            </w:pP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EE7CA3" w:rsidRDefault="001F218C" w:rsidP="008A1B96">
            <w:pPr>
              <w:rPr>
                <w:rFonts w:cs="Arial"/>
              </w:rPr>
            </w:pPr>
            <w:r w:rsidRPr="00EE7CA3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932EE7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EE7CA3" w:rsidRDefault="00932EE7" w:rsidP="008A1B96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Default="00932EE7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A13AC6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Suzana Rosa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  <w:p w:rsidR="001F218C" w:rsidRDefault="001F218C" w:rsidP="00D5171C">
            <w:pPr>
              <w:tabs>
                <w:tab w:val="left" w:pos="3343"/>
              </w:tabs>
              <w:rPr>
                <w:rFonts w:cs="Arial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1F218C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Sérgio Gré Junior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07E78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proofErr w:type="spellStart"/>
            <w:r>
              <w:rPr>
                <w:rFonts w:ascii="Calibri" w:hAnsi="Calibri"/>
              </w:rPr>
              <w:t>Filgueiras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Default="00607E78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A021E7" w:rsidRDefault="00607E78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Alessandra </w:t>
            </w:r>
            <w:proofErr w:type="spellStart"/>
            <w:r>
              <w:rPr>
                <w:rFonts w:ascii="Calibri" w:hAnsi="Calibri"/>
              </w:rPr>
              <w:t>Scalcon</w:t>
            </w:r>
            <w:proofErr w:type="spellEnd"/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Ass. Da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A021E7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Rogério Pinto Dias de Oliveira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A021E7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677F0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354E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Aline Silva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7F0" w:rsidRPr="00A021E7" w:rsidRDefault="006677F0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1F218C" w:rsidRPr="00A021E7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6677F0" w:rsidP="00D5171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Anne Caroline da Rosa</w:t>
            </w:r>
          </w:p>
        </w:tc>
        <w:tc>
          <w:tcPr>
            <w:tcW w:w="114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756D20" w:rsidRDefault="006677F0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Setor de Pessoa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A021E7" w:rsidRDefault="001F218C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A021E7" w:rsidRDefault="003817BE" w:rsidP="00F62749"/>
    <w:sectPr w:rsidR="003817BE" w:rsidRPr="00A021E7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F1" w:rsidRDefault="00B74BF1" w:rsidP="00A021E7">
      <w:pPr>
        <w:spacing w:after="0" w:line="240" w:lineRule="auto"/>
      </w:pPr>
      <w:r>
        <w:separator/>
      </w:r>
    </w:p>
  </w:endnote>
  <w:end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F1" w:rsidRDefault="00B74BF1" w:rsidP="00A021E7">
      <w:pPr>
        <w:spacing w:after="0" w:line="240" w:lineRule="auto"/>
      </w:pPr>
      <w:r>
        <w:separator/>
      </w:r>
    </w:p>
  </w:footnote>
  <w:footnote w:type="continuationSeparator" w:id="0">
    <w:p w:rsidR="00B74BF1" w:rsidRDefault="00B74BF1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5FFA"/>
    <w:rsid w:val="000171A2"/>
    <w:rsid w:val="00020AB8"/>
    <w:rsid w:val="00020D67"/>
    <w:rsid w:val="000327E9"/>
    <w:rsid w:val="00035D9F"/>
    <w:rsid w:val="00040E42"/>
    <w:rsid w:val="00050496"/>
    <w:rsid w:val="00061EF6"/>
    <w:rsid w:val="00066DC9"/>
    <w:rsid w:val="00082E8F"/>
    <w:rsid w:val="00087EBF"/>
    <w:rsid w:val="000A083A"/>
    <w:rsid w:val="000A4CBB"/>
    <w:rsid w:val="000A6CD7"/>
    <w:rsid w:val="000D3541"/>
    <w:rsid w:val="000D7931"/>
    <w:rsid w:val="000F291F"/>
    <w:rsid w:val="000F6DD2"/>
    <w:rsid w:val="00115E8C"/>
    <w:rsid w:val="0011750D"/>
    <w:rsid w:val="00130091"/>
    <w:rsid w:val="00130BBA"/>
    <w:rsid w:val="00136417"/>
    <w:rsid w:val="0014500B"/>
    <w:rsid w:val="001568E4"/>
    <w:rsid w:val="00160155"/>
    <w:rsid w:val="0016539E"/>
    <w:rsid w:val="001734AD"/>
    <w:rsid w:val="0017401C"/>
    <w:rsid w:val="00176032"/>
    <w:rsid w:val="00186D47"/>
    <w:rsid w:val="0019436F"/>
    <w:rsid w:val="001A66B9"/>
    <w:rsid w:val="001C449B"/>
    <w:rsid w:val="001D142F"/>
    <w:rsid w:val="001F218C"/>
    <w:rsid w:val="00200F43"/>
    <w:rsid w:val="002017FB"/>
    <w:rsid w:val="002021A3"/>
    <w:rsid w:val="00202F5D"/>
    <w:rsid w:val="0022361A"/>
    <w:rsid w:val="002244CF"/>
    <w:rsid w:val="00224C9B"/>
    <w:rsid w:val="002437AA"/>
    <w:rsid w:val="00273470"/>
    <w:rsid w:val="00287862"/>
    <w:rsid w:val="00287AE1"/>
    <w:rsid w:val="002C2B2A"/>
    <w:rsid w:val="002C7178"/>
    <w:rsid w:val="002C7AE9"/>
    <w:rsid w:val="002C7D03"/>
    <w:rsid w:val="002D77C9"/>
    <w:rsid w:val="002E2373"/>
    <w:rsid w:val="002F1CEE"/>
    <w:rsid w:val="002F3B4C"/>
    <w:rsid w:val="002F553E"/>
    <w:rsid w:val="00301608"/>
    <w:rsid w:val="0031180A"/>
    <w:rsid w:val="00313EE1"/>
    <w:rsid w:val="00322840"/>
    <w:rsid w:val="00332119"/>
    <w:rsid w:val="003354E3"/>
    <w:rsid w:val="00336F4E"/>
    <w:rsid w:val="0034261F"/>
    <w:rsid w:val="0034545A"/>
    <w:rsid w:val="00346C3D"/>
    <w:rsid w:val="0037333D"/>
    <w:rsid w:val="00373CC9"/>
    <w:rsid w:val="003762F4"/>
    <w:rsid w:val="003817BE"/>
    <w:rsid w:val="003834D7"/>
    <w:rsid w:val="003C18F0"/>
    <w:rsid w:val="00404B80"/>
    <w:rsid w:val="00413B09"/>
    <w:rsid w:val="00423252"/>
    <w:rsid w:val="00423A0C"/>
    <w:rsid w:val="0042521A"/>
    <w:rsid w:val="004264BC"/>
    <w:rsid w:val="00426AC6"/>
    <w:rsid w:val="004278E0"/>
    <w:rsid w:val="00432735"/>
    <w:rsid w:val="004468B6"/>
    <w:rsid w:val="00453501"/>
    <w:rsid w:val="00456D35"/>
    <w:rsid w:val="00465760"/>
    <w:rsid w:val="00465B89"/>
    <w:rsid w:val="00474339"/>
    <w:rsid w:val="00475043"/>
    <w:rsid w:val="0047510F"/>
    <w:rsid w:val="00483D09"/>
    <w:rsid w:val="004A187D"/>
    <w:rsid w:val="004A4B81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3664"/>
    <w:rsid w:val="0052531D"/>
    <w:rsid w:val="0053098E"/>
    <w:rsid w:val="00560E35"/>
    <w:rsid w:val="00562D94"/>
    <w:rsid w:val="00563A4D"/>
    <w:rsid w:val="00571B8D"/>
    <w:rsid w:val="005734AC"/>
    <w:rsid w:val="0057365D"/>
    <w:rsid w:val="00576124"/>
    <w:rsid w:val="00591781"/>
    <w:rsid w:val="005B18B9"/>
    <w:rsid w:val="005C6A06"/>
    <w:rsid w:val="005D2D32"/>
    <w:rsid w:val="005E5888"/>
    <w:rsid w:val="005E5DE0"/>
    <w:rsid w:val="005F0DCC"/>
    <w:rsid w:val="00603AD4"/>
    <w:rsid w:val="00607E78"/>
    <w:rsid w:val="00611705"/>
    <w:rsid w:val="006119F3"/>
    <w:rsid w:val="006136C2"/>
    <w:rsid w:val="00622387"/>
    <w:rsid w:val="0062283C"/>
    <w:rsid w:val="00622C08"/>
    <w:rsid w:val="0062609E"/>
    <w:rsid w:val="006315B1"/>
    <w:rsid w:val="0063257C"/>
    <w:rsid w:val="00633574"/>
    <w:rsid w:val="00637C03"/>
    <w:rsid w:val="00641C98"/>
    <w:rsid w:val="00646B97"/>
    <w:rsid w:val="00654AA9"/>
    <w:rsid w:val="006677F0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712D0F"/>
    <w:rsid w:val="00713AB4"/>
    <w:rsid w:val="00725DAA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81A4A"/>
    <w:rsid w:val="00783709"/>
    <w:rsid w:val="007863D5"/>
    <w:rsid w:val="00797457"/>
    <w:rsid w:val="007A0BCD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60D"/>
    <w:rsid w:val="007F0F3A"/>
    <w:rsid w:val="007F4756"/>
    <w:rsid w:val="00802DAE"/>
    <w:rsid w:val="00806ED4"/>
    <w:rsid w:val="00812BA5"/>
    <w:rsid w:val="00812F4F"/>
    <w:rsid w:val="00814236"/>
    <w:rsid w:val="00821C45"/>
    <w:rsid w:val="00827019"/>
    <w:rsid w:val="00831B35"/>
    <w:rsid w:val="0083360A"/>
    <w:rsid w:val="008369D8"/>
    <w:rsid w:val="0084381C"/>
    <w:rsid w:val="00843D41"/>
    <w:rsid w:val="00845E07"/>
    <w:rsid w:val="00852DD3"/>
    <w:rsid w:val="0086200C"/>
    <w:rsid w:val="00862792"/>
    <w:rsid w:val="0086478F"/>
    <w:rsid w:val="00865A39"/>
    <w:rsid w:val="00874043"/>
    <w:rsid w:val="00875837"/>
    <w:rsid w:val="00876BB1"/>
    <w:rsid w:val="00887F55"/>
    <w:rsid w:val="00897E8A"/>
    <w:rsid w:val="008A5EA7"/>
    <w:rsid w:val="008C5345"/>
    <w:rsid w:val="008E4B3F"/>
    <w:rsid w:val="00904AA9"/>
    <w:rsid w:val="00911A77"/>
    <w:rsid w:val="009158EF"/>
    <w:rsid w:val="009173DB"/>
    <w:rsid w:val="009219B2"/>
    <w:rsid w:val="00932EE7"/>
    <w:rsid w:val="0093361F"/>
    <w:rsid w:val="00935D55"/>
    <w:rsid w:val="009404BE"/>
    <w:rsid w:val="00947B1C"/>
    <w:rsid w:val="0096290E"/>
    <w:rsid w:val="00973CA7"/>
    <w:rsid w:val="009810AC"/>
    <w:rsid w:val="00981732"/>
    <w:rsid w:val="009855EB"/>
    <w:rsid w:val="00996590"/>
    <w:rsid w:val="009A6D85"/>
    <w:rsid w:val="009B1FC6"/>
    <w:rsid w:val="009B29C2"/>
    <w:rsid w:val="009B7958"/>
    <w:rsid w:val="009C16D1"/>
    <w:rsid w:val="009C6E96"/>
    <w:rsid w:val="009D52EA"/>
    <w:rsid w:val="009E7340"/>
    <w:rsid w:val="009F0757"/>
    <w:rsid w:val="009F127E"/>
    <w:rsid w:val="009F6C86"/>
    <w:rsid w:val="009F70F1"/>
    <w:rsid w:val="00A021E7"/>
    <w:rsid w:val="00A10FD3"/>
    <w:rsid w:val="00A13AC6"/>
    <w:rsid w:val="00A1445D"/>
    <w:rsid w:val="00A14ABE"/>
    <w:rsid w:val="00A25C67"/>
    <w:rsid w:val="00A37164"/>
    <w:rsid w:val="00A457A7"/>
    <w:rsid w:val="00A46FF5"/>
    <w:rsid w:val="00A5561B"/>
    <w:rsid w:val="00A662A1"/>
    <w:rsid w:val="00A7037B"/>
    <w:rsid w:val="00A732D8"/>
    <w:rsid w:val="00A757ED"/>
    <w:rsid w:val="00A932FD"/>
    <w:rsid w:val="00A94619"/>
    <w:rsid w:val="00A97BB7"/>
    <w:rsid w:val="00AA732E"/>
    <w:rsid w:val="00AB0795"/>
    <w:rsid w:val="00AC68EA"/>
    <w:rsid w:val="00AD0106"/>
    <w:rsid w:val="00AD0DC5"/>
    <w:rsid w:val="00AD56C4"/>
    <w:rsid w:val="00AE645B"/>
    <w:rsid w:val="00AE655C"/>
    <w:rsid w:val="00AF649E"/>
    <w:rsid w:val="00B01978"/>
    <w:rsid w:val="00B1036B"/>
    <w:rsid w:val="00B12F0C"/>
    <w:rsid w:val="00B20110"/>
    <w:rsid w:val="00B30C93"/>
    <w:rsid w:val="00B53794"/>
    <w:rsid w:val="00B60743"/>
    <w:rsid w:val="00B73B42"/>
    <w:rsid w:val="00B74B6E"/>
    <w:rsid w:val="00B74BF1"/>
    <w:rsid w:val="00B85D70"/>
    <w:rsid w:val="00BA089C"/>
    <w:rsid w:val="00BA153F"/>
    <w:rsid w:val="00BA3477"/>
    <w:rsid w:val="00BA7030"/>
    <w:rsid w:val="00BB13C2"/>
    <w:rsid w:val="00BB57A8"/>
    <w:rsid w:val="00BB5AFB"/>
    <w:rsid w:val="00BC525E"/>
    <w:rsid w:val="00BC63C0"/>
    <w:rsid w:val="00BC6AD6"/>
    <w:rsid w:val="00BD1F48"/>
    <w:rsid w:val="00BD4B89"/>
    <w:rsid w:val="00BD79CA"/>
    <w:rsid w:val="00BE1F3E"/>
    <w:rsid w:val="00BE5787"/>
    <w:rsid w:val="00BE6753"/>
    <w:rsid w:val="00BE757A"/>
    <w:rsid w:val="00BF4E48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C14EB"/>
    <w:rsid w:val="00CC5FDA"/>
    <w:rsid w:val="00CC6F07"/>
    <w:rsid w:val="00CC6F3E"/>
    <w:rsid w:val="00CD4393"/>
    <w:rsid w:val="00CF2030"/>
    <w:rsid w:val="00CF5586"/>
    <w:rsid w:val="00D03923"/>
    <w:rsid w:val="00D04933"/>
    <w:rsid w:val="00D1635A"/>
    <w:rsid w:val="00D173E4"/>
    <w:rsid w:val="00D313A8"/>
    <w:rsid w:val="00D45DE3"/>
    <w:rsid w:val="00D466DF"/>
    <w:rsid w:val="00D5171C"/>
    <w:rsid w:val="00D526A4"/>
    <w:rsid w:val="00D712A9"/>
    <w:rsid w:val="00D8014D"/>
    <w:rsid w:val="00D855E5"/>
    <w:rsid w:val="00D9072D"/>
    <w:rsid w:val="00D94E5E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ED1"/>
    <w:rsid w:val="00E021FF"/>
    <w:rsid w:val="00E04DDF"/>
    <w:rsid w:val="00E05808"/>
    <w:rsid w:val="00E255EC"/>
    <w:rsid w:val="00E422F9"/>
    <w:rsid w:val="00E431C6"/>
    <w:rsid w:val="00E504DA"/>
    <w:rsid w:val="00E579A9"/>
    <w:rsid w:val="00E65213"/>
    <w:rsid w:val="00E83FEF"/>
    <w:rsid w:val="00E86FA5"/>
    <w:rsid w:val="00E9252D"/>
    <w:rsid w:val="00E97C12"/>
    <w:rsid w:val="00EB7507"/>
    <w:rsid w:val="00EC3E3B"/>
    <w:rsid w:val="00EE042D"/>
    <w:rsid w:val="00EE2A54"/>
    <w:rsid w:val="00EE7CA3"/>
    <w:rsid w:val="00EF1665"/>
    <w:rsid w:val="00F03D95"/>
    <w:rsid w:val="00F30E27"/>
    <w:rsid w:val="00F34223"/>
    <w:rsid w:val="00F40529"/>
    <w:rsid w:val="00F41589"/>
    <w:rsid w:val="00F420E6"/>
    <w:rsid w:val="00F456F8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D02AA"/>
    <w:rsid w:val="00FD20AA"/>
    <w:rsid w:val="00FD2DDF"/>
    <w:rsid w:val="00FD7435"/>
    <w:rsid w:val="00FE304A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F291-EF2B-414B-B992-4A1594B3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2013-07-17T15:45:00Z</cp:lastPrinted>
  <dcterms:created xsi:type="dcterms:W3CDTF">2013-07-22T14:03:00Z</dcterms:created>
  <dcterms:modified xsi:type="dcterms:W3CDTF">2013-07-23T20:10:00Z</dcterms:modified>
</cp:coreProperties>
</file>