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164EBA70" w:rsidR="00D65EE0" w:rsidRPr="00F037B8" w:rsidRDefault="00E776D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SÚMULA 335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D75DCE3" w:rsidR="00D65EE0" w:rsidRPr="00F037B8" w:rsidRDefault="00E776D7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9D26D5" w:rsidRPr="00F037B8">
              <w:rPr>
                <w:rFonts w:eastAsia="MS Mincho" w:cstheme="minorHAnsi"/>
                <w:sz w:val="22"/>
                <w:szCs w:val="22"/>
              </w:rPr>
              <w:t>setembro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F037B8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F037B8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F037B8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F037B8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F037B8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F037B8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F037B8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F037B8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F037B8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7420962E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4013A3E4" w14:textId="25F80FDC" w:rsidR="009D26D5" w:rsidRPr="00F037B8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037B8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9D26D5" w:rsidRPr="00F037B8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F037B8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596E23A8" w:rsidR="009D26D5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9850AC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DF7F562" w14:textId="77777777" w:rsidR="00E85E89" w:rsidRPr="00F037B8" w:rsidRDefault="00E85E89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3C8DA03F" w14:textId="3ADEEEED" w:rsidR="00E85E89" w:rsidRPr="00F037B8" w:rsidRDefault="00E85E89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551" w:type="dxa"/>
          </w:tcPr>
          <w:p w14:paraId="20495D17" w14:textId="2FE2BFA1" w:rsidR="00E85E89" w:rsidRPr="00F037B8" w:rsidRDefault="00E85E89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037B8" w:rsidRPr="00F037B8" w14:paraId="510EBB1D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6394D8" w14:textId="77777777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351EDC6" w14:textId="3E45212A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91B8D77" w14:textId="1B7EADDB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03083DBB" w:rsidR="003445D8" w:rsidRPr="00F037B8" w:rsidRDefault="00C95F8D" w:rsidP="00765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AF433A" w:rsidRPr="00F037B8">
              <w:rPr>
                <w:rFonts w:cstheme="minorHAnsi"/>
                <w:sz w:val="22"/>
                <w:szCs w:val="22"/>
              </w:rPr>
              <w:t xml:space="preserve">Registrada a ausência da conselheira </w:t>
            </w:r>
            <w:r w:rsidR="00AF433A" w:rsidRPr="00F037B8">
              <w:rPr>
                <w:rFonts w:eastAsia="MS Mincho" w:cstheme="minorHAnsi"/>
                <w:sz w:val="22"/>
                <w:szCs w:val="22"/>
              </w:rPr>
              <w:t>Marta Floriani Volkmer.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apresentada. 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F037B8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F037B8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F037B8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092141FC" w:rsidR="00BC3F51" w:rsidRPr="00F037B8" w:rsidRDefault="00E776D7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Parecer dos Técnicos</w:t>
            </w:r>
          </w:p>
        </w:tc>
      </w:tr>
      <w:tr w:rsidR="00F037B8" w:rsidRPr="00F037B8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EA4C0D5" w:rsidR="00BC3F51" w:rsidRPr="00F037B8" w:rsidRDefault="00EE28E5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E776D7" w:rsidRPr="00F037B8">
              <w:rPr>
                <w:rFonts w:cstheme="minorHAnsi"/>
                <w:sz w:val="22"/>
                <w:szCs w:val="22"/>
              </w:rPr>
              <w:t xml:space="preserve"> e </w:t>
            </w:r>
            <w:r w:rsidR="00E776D7" w:rsidRPr="00F037B8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</w:tr>
      <w:tr w:rsidR="00F037B8" w:rsidRPr="00F037B8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F037B8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78B3E093" w:rsidR="00EB69D8" w:rsidRPr="00F037B8" w:rsidRDefault="00A73D86" w:rsidP="00BF3AF6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assessora Karla fala sobre a solicitação de parecer dos técnicos sobre o assunto Nota Técnica. O assessor jurídico Flavio apresenta o </w:t>
            </w:r>
            <w:r w:rsidR="00372967" w:rsidRPr="00F037B8">
              <w:rPr>
                <w:rFonts w:cstheme="minorHAnsi"/>
                <w:sz w:val="22"/>
                <w:szCs w:val="22"/>
              </w:rPr>
              <w:t>parecer</w:t>
            </w:r>
            <w:r w:rsidRPr="00F037B8">
              <w:rPr>
                <w:rFonts w:cstheme="minorHAnsi"/>
                <w:sz w:val="22"/>
                <w:szCs w:val="22"/>
              </w:rPr>
              <w:t xml:space="preserve"> e fala sobre o problema técnico: “Técnicos Industriais podem realizar serviços que envolvem restauração, reparos e adaptações em edificação pertencente ao patrimônio histórico e cultural sem a coordenação de profissional arquiteto e urbanista?”. </w:t>
            </w:r>
            <w:r w:rsidR="00427612" w:rsidRPr="00F037B8">
              <w:rPr>
                <w:rFonts w:cstheme="minorHAnsi"/>
                <w:sz w:val="22"/>
                <w:szCs w:val="22"/>
              </w:rPr>
              <w:t>O</w:t>
            </w:r>
            <w:r w:rsidR="001065C7" w:rsidRPr="00F037B8">
              <w:rPr>
                <w:rFonts w:cstheme="minorHAnsi"/>
                <w:sz w:val="22"/>
                <w:szCs w:val="22"/>
              </w:rPr>
              <w:t xml:space="preserve"> conselheiro Oritz sugere ajustes e ampliações </w:t>
            </w:r>
            <w:r w:rsidR="00BF3AF6">
              <w:rPr>
                <w:rFonts w:cstheme="minorHAnsi"/>
                <w:sz w:val="22"/>
                <w:szCs w:val="22"/>
              </w:rPr>
              <w:t>n</w:t>
            </w:r>
            <w:r w:rsidR="001065C7" w:rsidRPr="00F037B8">
              <w:rPr>
                <w:rFonts w:cstheme="minorHAnsi"/>
                <w:sz w:val="22"/>
                <w:szCs w:val="22"/>
              </w:rPr>
              <w:t>o parecer</w:t>
            </w:r>
            <w:r w:rsidR="00BF3AF6">
              <w:rPr>
                <w:rFonts w:cstheme="minorHAnsi"/>
                <w:sz w:val="22"/>
                <w:szCs w:val="22"/>
              </w:rPr>
              <w:t xml:space="preserve"> e </w:t>
            </w:r>
            <w:r w:rsidR="00FE726B" w:rsidRPr="00F037B8">
              <w:rPr>
                <w:rFonts w:cstheme="minorHAnsi"/>
                <w:sz w:val="22"/>
                <w:szCs w:val="22"/>
              </w:rPr>
              <w:t xml:space="preserve">solicita à assessora Karla que </w:t>
            </w:r>
            <w:r w:rsidR="00BF3AF6">
              <w:rPr>
                <w:rFonts w:cstheme="minorHAnsi"/>
                <w:sz w:val="22"/>
                <w:szCs w:val="22"/>
              </w:rPr>
              <w:t>o</w:t>
            </w:r>
            <w:r w:rsidR="00FE726B" w:rsidRPr="00F037B8">
              <w:rPr>
                <w:rFonts w:cstheme="minorHAnsi"/>
                <w:sz w:val="22"/>
                <w:szCs w:val="22"/>
              </w:rPr>
              <w:t xml:space="preserve"> material seja incluído no conjunto de documentos para envio à Comissão de Patrimônio Cultural. </w:t>
            </w:r>
          </w:p>
        </w:tc>
      </w:tr>
      <w:tr w:rsidR="00F037B8" w:rsidRPr="00F037B8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3142D2BF" w:rsidR="0006453A" w:rsidRPr="00F037B8" w:rsidRDefault="009604D3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Pautar a apresentação do parecer na próxima reunião do Conselho Diretor.</w:t>
            </w:r>
          </w:p>
        </w:tc>
      </w:tr>
      <w:tr w:rsidR="00F037B8" w:rsidRPr="00F037B8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2479B6F8" w:rsidR="0006453A" w:rsidRPr="00F037B8" w:rsidRDefault="00E776D7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Placas de Obra</w:t>
            </w:r>
            <w:r w:rsidR="00EE28E5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B3B4ABD" w:rsidR="0006453A" w:rsidRPr="00F037B8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5F497E52" w:rsidR="00DB3CA9" w:rsidRPr="00F037B8" w:rsidRDefault="00DB3CA9" w:rsidP="00FF36D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assessora </w:t>
            </w:r>
            <w:r w:rsidR="00B86549" w:rsidRPr="00F037B8">
              <w:rPr>
                <w:rFonts w:cstheme="minorHAnsi"/>
                <w:sz w:val="22"/>
                <w:szCs w:val="22"/>
              </w:rPr>
              <w:t xml:space="preserve">Karla retoma o histórico do assunto e relata que foi criado um documento, enviado por e-mail aos conselheiros, para que o Gabinete do CAU/RS faça o encaminhamento. </w:t>
            </w:r>
            <w:r w:rsidR="00FF36DB" w:rsidRPr="00F037B8">
              <w:rPr>
                <w:rFonts w:cstheme="minorHAnsi"/>
                <w:sz w:val="22"/>
                <w:szCs w:val="22"/>
              </w:rPr>
              <w:t xml:space="preserve">O conselheiro Oritz solicita ajustes. </w:t>
            </w:r>
            <w:r w:rsidR="00B86549" w:rsidRPr="00F037B8">
              <w:rPr>
                <w:rFonts w:cstheme="minorHAnsi"/>
                <w:sz w:val="22"/>
                <w:szCs w:val="22"/>
              </w:rPr>
              <w:t xml:space="preserve">O assessor jurídico Flavio informa que há um documento atualizado enviado em junho de 2019 ao Gabinete. </w:t>
            </w:r>
            <w:r w:rsidR="00FF36DB" w:rsidRPr="00F037B8">
              <w:rPr>
                <w:rFonts w:cstheme="minorHAnsi"/>
                <w:sz w:val="22"/>
                <w:szCs w:val="22"/>
              </w:rPr>
              <w:t xml:space="preserve">O conselheiro Oritz solicita que o material seja enviado ao Gabinete. </w:t>
            </w:r>
          </w:p>
        </w:tc>
      </w:tr>
      <w:tr w:rsidR="00F037B8" w:rsidRPr="00F037B8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6B2D1B7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C02CD8B" w:rsidR="0006453A" w:rsidRPr="00F037B8" w:rsidRDefault="00FF36DB" w:rsidP="00FF36D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Assessoria enviará e-mail com solicitação ao Chefe de Gabinete, Fausto Loureiro, com material atualizado sobre o assunto para devido encaminhamento. </w:t>
            </w:r>
          </w:p>
        </w:tc>
      </w:tr>
      <w:tr w:rsidR="00F037B8" w:rsidRPr="00F037B8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130FEEDA" w:rsidR="0006453A" w:rsidRPr="00F037B8" w:rsidRDefault="0047504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922CF">
              <w:rPr>
                <w:rFonts w:cstheme="minorHAnsi"/>
                <w:b/>
                <w:sz w:val="22"/>
                <w:szCs w:val="22"/>
              </w:rPr>
              <w:t>Protocolo</w:t>
            </w:r>
            <w:r w:rsidR="00E776D7" w:rsidRPr="00D922CF">
              <w:rPr>
                <w:rFonts w:cstheme="minorHAnsi"/>
                <w:b/>
                <w:sz w:val="22"/>
                <w:szCs w:val="22"/>
              </w:rPr>
              <w:t xml:space="preserve"> 1101750/2020</w:t>
            </w:r>
            <w:r w:rsidR="00E776D7" w:rsidRPr="00D922CF">
              <w:rPr>
                <w:rFonts w:cstheme="minorHAnsi"/>
                <w:b/>
                <w:sz w:val="22"/>
                <w:szCs w:val="22"/>
              </w:rPr>
              <w:tab/>
            </w:r>
            <w:r w:rsidR="00EE28E5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F037B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098CC2A7" w:rsidR="0006453A" w:rsidRPr="00F037B8" w:rsidRDefault="00E776D7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7FFDFD9A" w:rsidR="0006453A" w:rsidRPr="00F037B8" w:rsidRDefault="00475048" w:rsidP="005219C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assessora Karla apresenta aos conselheiros a Certidão de Acervo Técnico com Atestado enviada. </w:t>
            </w:r>
            <w:r w:rsidR="00DE4D69" w:rsidRPr="00F037B8">
              <w:rPr>
                <w:rFonts w:cstheme="minorHAnsi"/>
                <w:sz w:val="22"/>
                <w:szCs w:val="22"/>
              </w:rPr>
              <w:t>Os conselheiros avaliam o protocolo e discutem sobre a fiscalização de banheiros químicos</w:t>
            </w:r>
            <w:r w:rsidR="0062230D" w:rsidRPr="00F037B8">
              <w:rPr>
                <w:rFonts w:cstheme="minorHAnsi"/>
                <w:sz w:val="22"/>
                <w:szCs w:val="22"/>
              </w:rPr>
              <w:t xml:space="preserve"> em eventos</w:t>
            </w:r>
            <w:r w:rsidR="00DE4D69" w:rsidRPr="00F037B8">
              <w:rPr>
                <w:rFonts w:cstheme="minorHAnsi"/>
                <w:sz w:val="22"/>
                <w:szCs w:val="22"/>
              </w:rPr>
              <w:t xml:space="preserve">. </w:t>
            </w:r>
            <w:r w:rsidR="00D922CF">
              <w:rPr>
                <w:rFonts w:cstheme="minorHAnsi"/>
                <w:sz w:val="22"/>
                <w:szCs w:val="22"/>
              </w:rPr>
              <w:t xml:space="preserve">A Comissão solicita que Assessoria realize diligências para esclarecimentos. </w:t>
            </w:r>
          </w:p>
        </w:tc>
      </w:tr>
      <w:tr w:rsidR="00F037B8" w:rsidRPr="00F037B8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6544F049" w:rsidR="0006453A" w:rsidRPr="00F037B8" w:rsidRDefault="00D922CF" w:rsidP="00BF3A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realizará diligências para esclarecimentos e </w:t>
            </w:r>
            <w:r w:rsidR="00BF3AF6">
              <w:rPr>
                <w:rFonts w:cstheme="minorHAnsi"/>
                <w:sz w:val="22"/>
                <w:szCs w:val="22"/>
              </w:rPr>
              <w:t>pautará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 xml:space="preserve"> novamente. </w:t>
            </w:r>
          </w:p>
        </w:tc>
      </w:tr>
      <w:tr w:rsidR="00F037B8" w:rsidRPr="00F037B8" w14:paraId="38EC28A4" w14:textId="77777777" w:rsidTr="0080293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80293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BF19" w14:textId="793B8CEA" w:rsidR="00E776D7" w:rsidRPr="00F037B8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e deliberado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seguinte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documento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>:</w:t>
            </w:r>
          </w:p>
          <w:p w14:paraId="3D1CC884" w14:textId="076E907C" w:rsidR="001A76BF" w:rsidRPr="00F037B8" w:rsidRDefault="001A76BF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Deliberação CEP-CAU/RS nº 062/2020 – Relato do Processo nº 1000088398/2019 - Ausência de responsável técnico: aprovada com 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EF2848C" w14:textId="3F38B76E" w:rsidR="001A76BF" w:rsidRPr="00F037B8" w:rsidRDefault="001A76BF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Deliberação CEP-CAU/RS nº 063/2020 – Relato do Processo nº 1000088435/2019 - Ausência de responsável técnico:</w:t>
            </w:r>
            <w:r w:rsidR="00EB11DB" w:rsidRPr="00F037B8">
              <w:rPr>
                <w:rFonts w:cstheme="minorHAnsi"/>
                <w:sz w:val="22"/>
                <w:szCs w:val="22"/>
              </w:rPr>
              <w:t xml:space="preserve"> aprovada com </w:t>
            </w:r>
            <w:r w:rsidR="00146EFF" w:rsidRPr="00F037B8">
              <w:rPr>
                <w:rFonts w:cstheme="minorHAnsi"/>
                <w:sz w:val="22"/>
                <w:szCs w:val="22"/>
              </w:rPr>
              <w:t>3 votos favoráveis</w:t>
            </w:r>
            <w:r w:rsidR="00EB11DB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40E8323" w14:textId="7DE1C76F" w:rsidR="001A76BF" w:rsidRPr="00F037B8" w:rsidRDefault="00EB11DB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Pr="00F037B8">
              <w:rPr>
                <w:rFonts w:cstheme="minorHAnsi"/>
                <w:sz w:val="22"/>
                <w:szCs w:val="22"/>
              </w:rPr>
              <w:t xml:space="preserve">iberação CEP-CAU/RS nº 064/2020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Processo nº 1000083814/2019 - </w:t>
            </w:r>
            <w:r w:rsidRPr="00F037B8">
              <w:rPr>
                <w:rFonts w:cstheme="minorHAnsi"/>
                <w:sz w:val="22"/>
                <w:szCs w:val="22"/>
              </w:rPr>
              <w:t>Ausência de responsável técnico: aprovada com 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62206A0" w14:textId="043C9924" w:rsidR="001A76BF" w:rsidRPr="00F037B8" w:rsidRDefault="00EB11DB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Pr="00F037B8">
              <w:rPr>
                <w:rFonts w:cstheme="minorHAnsi"/>
                <w:sz w:val="22"/>
                <w:szCs w:val="22"/>
              </w:rPr>
              <w:t xml:space="preserve">iberação CEP-CAU/RS nº 065/2020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>Processo nº 1000088495/2019 - Ausência de responsável técnico</w:t>
            </w:r>
            <w:r w:rsidRPr="00F037B8">
              <w:rPr>
                <w:rFonts w:cstheme="minorHAnsi"/>
                <w:sz w:val="22"/>
                <w:szCs w:val="22"/>
              </w:rPr>
              <w:t xml:space="preserve">: aprovada com </w:t>
            </w:r>
            <w:r w:rsidR="00146EFF" w:rsidRPr="00F037B8">
              <w:rPr>
                <w:rFonts w:cstheme="minorHAnsi"/>
                <w:sz w:val="22"/>
                <w:szCs w:val="22"/>
              </w:rPr>
              <w:t>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5C0E8B1B" w14:textId="01392E5E" w:rsidR="001A76BF" w:rsidRPr="00F037B8" w:rsidRDefault="00EB11DB" w:rsidP="00146EF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Pr="00F037B8">
              <w:rPr>
                <w:rFonts w:cstheme="minorHAnsi"/>
                <w:sz w:val="22"/>
                <w:szCs w:val="22"/>
              </w:rPr>
              <w:t xml:space="preserve">iberação CEP-CAU/RS nº 066/2020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>Processo nº 1000082664/2019 - Ausência de registro no CAU (PJ)</w:t>
            </w:r>
            <w:r w:rsidRPr="00F037B8">
              <w:rPr>
                <w:rFonts w:cstheme="minorHAnsi"/>
                <w:sz w:val="22"/>
                <w:szCs w:val="22"/>
              </w:rPr>
              <w:t xml:space="preserve">: aprovada com </w:t>
            </w:r>
            <w:r w:rsidR="00146EFF" w:rsidRPr="00F037B8">
              <w:rPr>
                <w:rFonts w:cstheme="minorHAnsi"/>
                <w:sz w:val="22"/>
                <w:szCs w:val="22"/>
              </w:rPr>
              <w:t>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114562C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2455A394" w:rsidR="00C43EFF" w:rsidRPr="00F037B8" w:rsidRDefault="00E776D7" w:rsidP="00EB11D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</w:p>
        </w:tc>
      </w:tr>
      <w:tr w:rsidR="00F037B8" w:rsidRPr="00F037B8" w14:paraId="687DBF8D" w14:textId="77777777" w:rsidTr="0080293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E776D7" w:rsidRPr="00F037B8" w:rsidRDefault="00E776D7" w:rsidP="0080293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6D7" w:rsidRPr="00F037B8" w14:paraId="28B037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2EEC1895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 xml:space="preserve">Análise de Registro de Direito </w:t>
            </w:r>
            <w:proofErr w:type="spellStart"/>
            <w:r w:rsidRPr="00F037B8">
              <w:rPr>
                <w:rFonts w:cstheme="minorHAnsi"/>
                <w:b/>
                <w:sz w:val="22"/>
                <w:szCs w:val="22"/>
              </w:rPr>
              <w:t>Autorial</w:t>
            </w:r>
            <w:proofErr w:type="spellEnd"/>
            <w:r w:rsidRPr="00F037B8">
              <w:rPr>
                <w:rFonts w:cstheme="minorHAnsi"/>
                <w:b/>
                <w:sz w:val="22"/>
                <w:szCs w:val="22"/>
              </w:rPr>
              <w:t xml:space="preserve"> (RDA)</w:t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E776D7" w:rsidRPr="00F037B8" w14:paraId="262F84D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6611F474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776D7" w:rsidRPr="00F037B8" w14:paraId="4A06297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59DBE30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63A24C8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A0150F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C46C3" w14:textId="77777777" w:rsidR="001F629E" w:rsidRPr="00F037B8" w:rsidRDefault="001F629E" w:rsidP="001F629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00FC4842" w14:textId="4334488C" w:rsidR="00827A8B" w:rsidRPr="00F037B8" w:rsidRDefault="00827A8B" w:rsidP="00827A8B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Deliberação CEP-CAU/RS nº 067/2020 - Registro de Direito Autoral - RDA nº 1794: aprovada com 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4DFD529" w14:textId="1F1C7CC0" w:rsidR="00E776D7" w:rsidRPr="00F037B8" w:rsidRDefault="00827A8B" w:rsidP="001F629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Deliberação CEP-CAU/RS nº 068/2020 - Registro de Direito Autoral - RDA nº 1953: aprovada com 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1908E8A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13B352F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36926B56" w:rsidR="00C43EFF" w:rsidRPr="00F037B8" w:rsidRDefault="001F629E" w:rsidP="00146EFF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</w:p>
        </w:tc>
      </w:tr>
      <w:tr w:rsidR="00F037B8" w:rsidRPr="00F037B8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E776D7" w:rsidRPr="00F037B8" w:rsidRDefault="00E776D7" w:rsidP="00E776D7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39329817" w:rsidR="00E776D7" w:rsidRPr="00F037B8" w:rsidRDefault="00C43EF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Passagem do material</w:t>
            </w:r>
            <w:r w:rsidR="00E776D7" w:rsidRPr="00F037B8">
              <w:rPr>
                <w:rFonts w:cstheme="minorHAnsi"/>
                <w:b/>
                <w:sz w:val="22"/>
                <w:szCs w:val="22"/>
              </w:rPr>
              <w:t xml:space="preserve"> CTPH para CPC</w:t>
            </w:r>
          </w:p>
        </w:tc>
      </w:tr>
      <w:tr w:rsidR="00F037B8" w:rsidRPr="00F037B8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08998E21" w:rsidR="00C43EFF" w:rsidRPr="00F037B8" w:rsidRDefault="00C43EFF" w:rsidP="00E776D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O conselheiro Oritz fala sobre a passagem dos materiais da Comissão Temporária de Patrimônio Histórico (CTPH) à Comissão de Patrimônio Cultural (CPC). Ele informa que foi solicitado ao Gabinete apoio em assessoria técnica</w:t>
            </w:r>
            <w:r w:rsidR="009074A7" w:rsidRPr="00F037B8">
              <w:rPr>
                <w:rFonts w:cstheme="minorHAnsi"/>
                <w:sz w:val="22"/>
                <w:szCs w:val="22"/>
              </w:rPr>
              <w:t xml:space="preserve"> e jurídica</w:t>
            </w:r>
            <w:r w:rsidRPr="00F037B8">
              <w:rPr>
                <w:rFonts w:cstheme="minorHAnsi"/>
                <w:sz w:val="22"/>
                <w:szCs w:val="22"/>
              </w:rPr>
              <w:t xml:space="preserve">. </w:t>
            </w:r>
            <w:r w:rsidR="009074A7" w:rsidRPr="00F037B8">
              <w:rPr>
                <w:rFonts w:cstheme="minorHAnsi"/>
                <w:sz w:val="22"/>
                <w:szCs w:val="22"/>
              </w:rPr>
              <w:t xml:space="preserve">A Gerente de </w:t>
            </w:r>
            <w:r w:rsidR="009074A7" w:rsidRPr="00F037B8">
              <w:rPr>
                <w:rFonts w:cstheme="minorHAnsi"/>
                <w:sz w:val="22"/>
                <w:szCs w:val="22"/>
              </w:rPr>
              <w:lastRenderedPageBreak/>
              <w:t xml:space="preserve">Fiscalização, Marina, sugere que a assessoria técnica seja conduzida pelo coordenador jurídico, Cezar Eduardo </w:t>
            </w:r>
            <w:proofErr w:type="spellStart"/>
            <w:r w:rsidR="009074A7" w:rsidRPr="00F037B8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 w:rsidR="009074A7" w:rsidRPr="00F037B8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F037B8" w:rsidRPr="00F037B8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5E606AC3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17C0F968" w:rsidR="00E776D7" w:rsidRPr="00F037B8" w:rsidRDefault="00827A8B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 disponibilizará materiais da CTPH em Google Drive</w:t>
            </w:r>
            <w:r w:rsidR="00D95E52">
              <w:rPr>
                <w:rFonts w:cstheme="minorHAnsi"/>
                <w:sz w:val="22"/>
                <w:szCs w:val="22"/>
              </w:rPr>
              <w:t xml:space="preserve"> para entrega ao CPC</w:t>
            </w:r>
            <w:r w:rsidRPr="00F037B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4FBAB948" w14:textId="77777777" w:rsidTr="0010291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F93AF5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64C948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76557" w14:textId="4EBCA51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7C6A5" w14:textId="13FCF2D5" w:rsidR="00E776D7" w:rsidRPr="00F037B8" w:rsidRDefault="00105330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RRT Provisório</w:t>
            </w:r>
          </w:p>
        </w:tc>
      </w:tr>
      <w:tr w:rsidR="00F037B8" w:rsidRPr="00F037B8" w14:paraId="6CAF57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91DEF" w14:textId="7DBDAD70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437A" w14:textId="5232ED36" w:rsidR="00E776D7" w:rsidRPr="00F037B8" w:rsidRDefault="00C43EF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58792E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1099B" w14:textId="5D1720C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A3748" w14:textId="30005BED" w:rsidR="00E776D7" w:rsidRPr="00F037B8" w:rsidRDefault="00C43EF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F037B8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F037B8" w:rsidRPr="00F037B8" w14:paraId="72D9E06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0A6EC" w14:textId="5EED1E30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0661A" w14:textId="7074EB4F" w:rsidR="00AC34AA" w:rsidRPr="00F037B8" w:rsidRDefault="00146EFF" w:rsidP="00AC34A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F037B8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AC34AA" w:rsidRPr="00F037B8">
              <w:rPr>
                <w:rFonts w:cstheme="minorHAnsi"/>
                <w:sz w:val="22"/>
                <w:szCs w:val="22"/>
              </w:rPr>
              <w:t xml:space="preserve">fala sobre a disponibilização do documento emergencial que pode ser utilizado como um Registro de Responsabilidade Técnica (RRT) Provisório, como alternativa em função da lentidão e instabilidade registradas no Sistema de Comunicação e Informação do CAU (SICCAU), o que impossibilitou a geração de boletos, problemas em pesquisas de </w:t>
            </w:r>
            <w:proofErr w:type="spellStart"/>
            <w:r w:rsidR="00AC34AA" w:rsidRPr="00F037B8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AC34AA" w:rsidRPr="00F037B8">
              <w:rPr>
                <w:rFonts w:cstheme="minorHAnsi"/>
                <w:sz w:val="22"/>
                <w:szCs w:val="22"/>
              </w:rPr>
              <w:t xml:space="preserve">, retificação de </w:t>
            </w:r>
            <w:proofErr w:type="spellStart"/>
            <w:r w:rsidR="00AC34AA" w:rsidRPr="00F037B8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AC34AA" w:rsidRPr="00F037B8">
              <w:rPr>
                <w:rFonts w:cstheme="minorHAnsi"/>
                <w:sz w:val="22"/>
                <w:szCs w:val="22"/>
              </w:rPr>
              <w:t xml:space="preserve">, compensação de </w:t>
            </w:r>
            <w:proofErr w:type="spellStart"/>
            <w:r w:rsidR="00AC34AA" w:rsidRPr="00F037B8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AC34AA" w:rsidRPr="00F037B8">
              <w:rPr>
                <w:rFonts w:cstheme="minorHAnsi"/>
                <w:sz w:val="22"/>
                <w:szCs w:val="22"/>
              </w:rPr>
              <w:t xml:space="preserve"> pagos, registros de </w:t>
            </w:r>
            <w:proofErr w:type="spellStart"/>
            <w:r w:rsidR="00AC34AA" w:rsidRPr="00F037B8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AC34AA" w:rsidRPr="00F037B8">
              <w:rPr>
                <w:rFonts w:cstheme="minorHAnsi"/>
                <w:sz w:val="22"/>
                <w:szCs w:val="22"/>
              </w:rPr>
              <w:t xml:space="preserve"> em equipe, entre outros. Os conselheiros falam sobre os </w:t>
            </w:r>
            <w:proofErr w:type="spellStart"/>
            <w:r w:rsidR="00AC34AA" w:rsidRPr="00F037B8">
              <w:rPr>
                <w:rFonts w:cstheme="minorHAnsi"/>
                <w:sz w:val="22"/>
                <w:szCs w:val="22"/>
              </w:rPr>
              <w:t>imapctos</w:t>
            </w:r>
            <w:proofErr w:type="spellEnd"/>
            <w:r w:rsidR="00AC34AA" w:rsidRPr="00F037B8">
              <w:rPr>
                <w:rFonts w:cstheme="minorHAnsi"/>
                <w:sz w:val="22"/>
                <w:szCs w:val="22"/>
              </w:rPr>
              <w:t xml:space="preserve"> da implantação do documento emergencial e possibilidades de solução.</w:t>
            </w:r>
          </w:p>
        </w:tc>
      </w:tr>
      <w:tr w:rsidR="00F037B8" w:rsidRPr="00F037B8" w14:paraId="49FDCA9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3195B" w14:textId="49ABF3A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0738C" w14:textId="072500B6" w:rsidR="00E776D7" w:rsidRPr="00F037B8" w:rsidRDefault="00AC34AA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Apenas informe. </w:t>
            </w:r>
          </w:p>
        </w:tc>
      </w:tr>
      <w:tr w:rsidR="00F037B8" w:rsidRPr="00F037B8" w14:paraId="11F56DB6" w14:textId="77777777" w:rsidTr="0010291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6208B8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8D7F25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90258" w14:textId="5C5856C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D3C4" w14:textId="5812C777" w:rsidR="00E776D7" w:rsidRPr="00F037B8" w:rsidRDefault="00C43EFF" w:rsidP="00C43EF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 pendentes</w:t>
            </w:r>
            <w:r w:rsidR="00E776D7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2EB3EAF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CC937" w14:textId="6A66E29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FFE19" w14:textId="081081FF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EC3257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A068B" w14:textId="3F7C8FC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9B4A0" w14:textId="1A1A4840" w:rsidR="00E776D7" w:rsidRPr="00F037B8" w:rsidRDefault="00C43EF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Conselheiros relatores</w:t>
            </w:r>
            <w:r w:rsidR="00E776D7" w:rsidRPr="00F037B8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5F80188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0175B" w14:textId="5E70653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DE4EC7" w14:textId="77777777" w:rsidR="00736BC4" w:rsidRPr="00F037B8" w:rsidRDefault="00736BC4" w:rsidP="00736B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29A3CF0D" w14:textId="332C0CA0" w:rsidR="00736BC4" w:rsidRPr="00F037B8" w:rsidRDefault="00736BC4" w:rsidP="00C43EF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Deliberação CEP-CAU/RS nº 069/2020 – Relato do Processo nº 1000082105/2019: aprovada com 3 votos favoráveis</w:t>
            </w:r>
            <w:r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BED20AE" w14:textId="74CCBA7D" w:rsidR="00736BC4" w:rsidRPr="00F037B8" w:rsidRDefault="00736BC4" w:rsidP="0078268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78268F" w:rsidRPr="00F037B8">
              <w:rPr>
                <w:rFonts w:eastAsia="MS Mincho" w:cstheme="minorHAnsi"/>
                <w:sz w:val="22"/>
                <w:szCs w:val="22"/>
              </w:rPr>
              <w:t xml:space="preserve">Deliberação CEP-CAU/RS nº 070/2020 – Relato do Processo nº 1000083815/2019: </w:t>
            </w:r>
            <w:r w:rsidR="0078268F" w:rsidRPr="00F037B8">
              <w:rPr>
                <w:rFonts w:cstheme="minorHAnsi"/>
                <w:sz w:val="22"/>
                <w:szCs w:val="22"/>
              </w:rPr>
              <w:t>aprovada com 3 votos favoráveis</w:t>
            </w:r>
            <w:r w:rsidR="0078268F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78CCC23" w14:textId="6F728F30" w:rsidR="00736BC4" w:rsidRPr="00F037B8" w:rsidRDefault="0078268F" w:rsidP="00960B8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960B80" w:rsidRPr="00F037B8">
              <w:rPr>
                <w:rFonts w:eastAsia="MS Mincho" w:cstheme="minorHAnsi"/>
                <w:sz w:val="22"/>
                <w:szCs w:val="22"/>
              </w:rPr>
              <w:t xml:space="preserve">Deliberação CEP-CAU/RS nº 071/2020 – Relato do Processo nº 1000086840/2019: </w:t>
            </w:r>
            <w:r w:rsidR="00960B80" w:rsidRPr="00F037B8">
              <w:rPr>
                <w:rFonts w:cstheme="minorHAnsi"/>
                <w:sz w:val="22"/>
                <w:szCs w:val="22"/>
              </w:rPr>
              <w:t>aprovada com 3 votos favoráveis</w:t>
            </w:r>
            <w:r w:rsidR="00960B80"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5E299E0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87DCA" w14:textId="0BC2D16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E8BE4" w14:textId="73CB3E01" w:rsidR="00E776D7" w:rsidRPr="00F037B8" w:rsidRDefault="00736BC4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</w:p>
        </w:tc>
      </w:tr>
      <w:tr w:rsidR="00F037B8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E776D7" w:rsidRPr="00F037B8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E776D7" w:rsidRPr="00F037B8" w:rsidRDefault="00E776D7" w:rsidP="00E776D7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037B8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E776D7" w:rsidRPr="00F037B8" w:rsidRDefault="00E776D7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037B8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E776D7" w:rsidRPr="00F037B8" w:rsidRDefault="00E776D7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202FAF9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3BB0F176" w:rsidR="00E776D7" w:rsidRPr="00F037B8" w:rsidRDefault="00C43EFF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Fiscalização de Identificação de Autoria no Município de Porto Alegre</w:t>
            </w:r>
          </w:p>
        </w:tc>
      </w:tr>
      <w:tr w:rsidR="00F037B8" w:rsidRPr="00F037B8" w14:paraId="42B9748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5D688167" w:rsidR="00E776D7" w:rsidRPr="00F037B8" w:rsidRDefault="00E776D7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5323483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E776D7" w:rsidRPr="00F037B8">
              <w:rPr>
                <w:rFonts w:eastAsia="MS Mincho" w:cstheme="minorHAnsi"/>
                <w:b/>
                <w:sz w:val="22"/>
                <w:szCs w:val="22"/>
              </w:rPr>
              <w:t>334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69D27551" w:rsidR="00AF3E6B" w:rsidRPr="00F037B8" w:rsidRDefault="00F07FC2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E776D7" w:rsidRPr="00F037B8">
              <w:rPr>
                <w:rFonts w:eastAsia="MS Mincho" w:cstheme="minorHAnsi"/>
                <w:sz w:val="22"/>
                <w:szCs w:val="22"/>
              </w:rPr>
              <w:t>4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F037B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F037B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4447E67" w:rsidR="006C5DDF" w:rsidRPr="00F037B8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F037B8">
              <w:rPr>
                <w:rFonts w:cstheme="minorHAnsi"/>
                <w:sz w:val="22"/>
                <w:szCs w:val="22"/>
              </w:rPr>
              <w:t>às 16</w:t>
            </w:r>
            <w:r w:rsidR="003C1717" w:rsidRPr="00F037B8">
              <w:rPr>
                <w:rFonts w:cstheme="minorHAnsi"/>
                <w:sz w:val="22"/>
                <w:szCs w:val="22"/>
              </w:rPr>
              <w:t>h</w:t>
            </w:r>
            <w:r w:rsidR="00F037B8" w:rsidRPr="00F037B8">
              <w:rPr>
                <w:rFonts w:cstheme="minorHAnsi"/>
                <w:sz w:val="22"/>
                <w:szCs w:val="22"/>
              </w:rPr>
              <w:t>20</w:t>
            </w:r>
            <w:r w:rsidR="00C165F8" w:rsidRPr="00F037B8">
              <w:rPr>
                <w:rFonts w:cstheme="minorHAnsi"/>
                <w:sz w:val="22"/>
                <w:szCs w:val="22"/>
              </w:rPr>
              <w:t>min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F3AF6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F3AF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21047" w:rsidRPr="0047675A" w:rsidRDefault="00F2104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F1CC-3634-488D-87AD-99C2DE77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192</cp:revision>
  <cp:lastPrinted>2020-01-30T14:56:00Z</cp:lastPrinted>
  <dcterms:created xsi:type="dcterms:W3CDTF">2020-06-24T18:20:00Z</dcterms:created>
  <dcterms:modified xsi:type="dcterms:W3CDTF">2020-09-21T19:40:00Z</dcterms:modified>
</cp:coreProperties>
</file>