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5206"/>
        <w:gridCol w:w="202"/>
        <w:gridCol w:w="4776"/>
      </w:tblGrid>
      <w:tr w:rsidR="003817BE" w:rsidRPr="00B23A4F" w:rsidTr="00E74794">
        <w:trPr>
          <w:trHeight w:val="416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:rsidR="003817BE" w:rsidRPr="00B23A4F" w:rsidRDefault="00591552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</w:t>
            </w:r>
            <w:r w:rsidR="003817BE" w:rsidRPr="00B23A4F">
              <w:rPr>
                <w:rFonts w:cs="Arial"/>
                <w:b/>
              </w:rPr>
              <w:t>ª REUNIÃO DA COMISSÃO DE EXERCÍCIO PROFISSIONAL DO CAU/RS</w:t>
            </w:r>
            <w:r w:rsidR="00E74794">
              <w:rPr>
                <w:rFonts w:cs="Arial"/>
                <w:b/>
              </w:rPr>
              <w:t xml:space="preserve"> </w:t>
            </w:r>
          </w:p>
        </w:tc>
      </w:tr>
      <w:tr w:rsidR="003817BE" w:rsidRPr="00B23A4F" w:rsidTr="003817BE">
        <w:tc>
          <w:tcPr>
            <w:tcW w:w="2655" w:type="pct"/>
            <w:gridSpan w:val="2"/>
          </w:tcPr>
          <w:p w:rsidR="003817BE" w:rsidRPr="00B23A4F" w:rsidRDefault="003817BE" w:rsidP="003817BE">
            <w:pPr>
              <w:jc w:val="both"/>
              <w:rPr>
                <w:rFonts w:cs="Arial"/>
              </w:rPr>
            </w:pPr>
            <w:r w:rsidRPr="00B23A4F">
              <w:rPr>
                <w:rFonts w:cs="Arial"/>
              </w:rPr>
              <w:t>Local: Sede do CAU/RS</w:t>
            </w:r>
          </w:p>
        </w:tc>
        <w:tc>
          <w:tcPr>
            <w:tcW w:w="2345" w:type="pct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</w:rPr>
              <w:t>DATA:</w:t>
            </w:r>
            <w:r w:rsidR="00CF0AE5">
              <w:rPr>
                <w:rFonts w:cs="Arial"/>
              </w:rPr>
              <w:t xml:space="preserve"> </w:t>
            </w:r>
            <w:r w:rsidR="0054243C">
              <w:rPr>
                <w:rFonts w:cs="Arial"/>
                <w:b/>
              </w:rPr>
              <w:t>1</w:t>
            </w:r>
            <w:r w:rsidR="00591552">
              <w:rPr>
                <w:rFonts w:cs="Arial"/>
                <w:b/>
              </w:rPr>
              <w:t>7</w:t>
            </w:r>
            <w:r w:rsidR="00005CAD">
              <w:rPr>
                <w:rFonts w:cs="Arial"/>
                <w:b/>
              </w:rPr>
              <w:t>/04</w:t>
            </w:r>
            <w:r w:rsidRPr="00B23A4F">
              <w:rPr>
                <w:rFonts w:cs="Arial"/>
                <w:b/>
              </w:rPr>
              <w:t>/2013</w:t>
            </w:r>
          </w:p>
        </w:tc>
      </w:tr>
      <w:tr w:rsidR="003817BE" w:rsidRPr="00B23A4F" w:rsidTr="00E74794">
        <w:tc>
          <w:tcPr>
            <w:tcW w:w="5000" w:type="pct"/>
            <w:gridSpan w:val="3"/>
            <w:shd w:val="clear" w:color="auto" w:fill="FFC000"/>
          </w:tcPr>
          <w:p w:rsidR="003817BE" w:rsidRPr="007274E1" w:rsidRDefault="00E74794" w:rsidP="003817BE">
            <w:pPr>
              <w:jc w:val="both"/>
              <w:rPr>
                <w:rFonts w:cs="Arial"/>
                <w:b/>
                <w:color w:val="E36C0A" w:themeColor="accent6" w:themeShade="BF"/>
              </w:rPr>
            </w:pPr>
            <w:proofErr w:type="gramStart"/>
            <w:r w:rsidRPr="00C55219">
              <w:rPr>
                <w:b/>
              </w:rPr>
              <w:t>1.</w:t>
            </w:r>
            <w:proofErr w:type="gramEnd"/>
            <w:r w:rsidRPr="00C55219">
              <w:rPr>
                <w:b/>
              </w:rPr>
              <w:t xml:space="preserve">Aprovação das súmulas anteriores       </w:t>
            </w:r>
          </w:p>
        </w:tc>
      </w:tr>
      <w:tr w:rsidR="003817BE" w:rsidRPr="00B23A4F" w:rsidTr="003817BE">
        <w:tc>
          <w:tcPr>
            <w:tcW w:w="5000" w:type="pct"/>
            <w:gridSpan w:val="3"/>
            <w:shd w:val="clear" w:color="auto" w:fill="FFFFFF" w:themeFill="background1"/>
          </w:tcPr>
          <w:p w:rsidR="003817BE" w:rsidRDefault="00546717" w:rsidP="0054671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súmula da reunião anterior foi aprovada. </w:t>
            </w:r>
          </w:p>
          <w:p w:rsidR="00706A56" w:rsidRDefault="00706A56" w:rsidP="00546717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E74794">
        <w:tc>
          <w:tcPr>
            <w:tcW w:w="5000" w:type="pct"/>
            <w:gridSpan w:val="3"/>
            <w:shd w:val="clear" w:color="auto" w:fill="FFC000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2. </w:t>
            </w:r>
            <w:r w:rsidR="00E74794">
              <w:rPr>
                <w:rFonts w:cs="Arial"/>
                <w:b/>
              </w:rPr>
              <w:t>Programa de Fiscalização</w:t>
            </w:r>
          </w:p>
        </w:tc>
      </w:tr>
      <w:tr w:rsidR="003817BE" w:rsidRPr="00B23A4F" w:rsidTr="003817BE">
        <w:tc>
          <w:tcPr>
            <w:tcW w:w="5000" w:type="pct"/>
            <w:gridSpan w:val="3"/>
            <w:shd w:val="clear" w:color="auto" w:fill="FFFFFF" w:themeFill="background1"/>
          </w:tcPr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  <w:p w:rsidR="000D661B" w:rsidRDefault="00591552" w:rsidP="000D661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Agentes Fiscais rel</w:t>
            </w:r>
            <w:r w:rsidR="00C27BE4">
              <w:rPr>
                <w:rFonts w:cs="Arial"/>
              </w:rPr>
              <w:t>ataram que estão trabalhando na adaptação d</w:t>
            </w:r>
            <w:r w:rsidR="00E44632">
              <w:rPr>
                <w:rFonts w:cs="Arial"/>
              </w:rPr>
              <w:t>as normas da</w:t>
            </w:r>
            <w:r>
              <w:rPr>
                <w:rFonts w:cs="Arial"/>
              </w:rPr>
              <w:t xml:space="preserve"> CEARQ do </w:t>
            </w:r>
            <w:proofErr w:type="gramStart"/>
            <w:r>
              <w:rPr>
                <w:rFonts w:cs="Arial"/>
              </w:rPr>
              <w:t>Crea</w:t>
            </w:r>
            <w:proofErr w:type="gramEnd"/>
            <w:r>
              <w:rPr>
                <w:rFonts w:cs="Arial"/>
              </w:rPr>
              <w:t>, em itens como design de interiores e patrimônio histórico. Essas adaptações irão constar em um documento qu</w:t>
            </w:r>
            <w:r w:rsidR="00E44632">
              <w:rPr>
                <w:rFonts w:cs="Arial"/>
              </w:rPr>
              <w:t>e está sendo formulado e passará</w:t>
            </w:r>
            <w:r>
              <w:rPr>
                <w:rFonts w:cs="Arial"/>
              </w:rPr>
              <w:t xml:space="preserve"> por revisão e formatação. Não serão tratadas como norma</w:t>
            </w:r>
            <w:r w:rsidR="00E44632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e sim como orientações. </w:t>
            </w:r>
          </w:p>
          <w:p w:rsidR="00591552" w:rsidRDefault="00591552" w:rsidP="000D661B">
            <w:pPr>
              <w:jc w:val="both"/>
              <w:rPr>
                <w:rFonts w:cs="Arial"/>
              </w:rPr>
            </w:pPr>
          </w:p>
          <w:p w:rsidR="00591552" w:rsidRDefault="00591552" w:rsidP="000D661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Sobre os termos de cooperação</w:t>
            </w:r>
            <w:r w:rsidR="00E44632">
              <w:rPr>
                <w:rFonts w:cs="Arial"/>
              </w:rPr>
              <w:t xml:space="preserve"> técnica</w:t>
            </w:r>
            <w:r>
              <w:rPr>
                <w:rFonts w:cs="Arial"/>
              </w:rPr>
              <w:t xml:space="preserve">,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informou que além do termo</w:t>
            </w:r>
            <w:r w:rsidR="00082133">
              <w:rPr>
                <w:rFonts w:cs="Arial"/>
              </w:rPr>
              <w:t xml:space="preserve"> assinado com Carlos Barbosa, tê</w:t>
            </w:r>
            <w:r>
              <w:rPr>
                <w:rFonts w:cs="Arial"/>
              </w:rPr>
              <w:t xml:space="preserve">m </w:t>
            </w:r>
            <w:r w:rsidR="00082133">
              <w:rPr>
                <w:rFonts w:cs="Arial"/>
              </w:rPr>
              <w:t xml:space="preserve">outros municípios </w:t>
            </w:r>
            <w:r>
              <w:rPr>
                <w:rFonts w:cs="Arial"/>
              </w:rPr>
              <w:t>que já estão com o termo em mã</w:t>
            </w:r>
            <w:r w:rsidR="00E44632">
              <w:rPr>
                <w:rFonts w:cs="Arial"/>
              </w:rPr>
              <w:t>os</w:t>
            </w:r>
            <w:r>
              <w:rPr>
                <w:rFonts w:cs="Arial"/>
              </w:rPr>
              <w:t xml:space="preserve"> para análise, Caxias</w:t>
            </w:r>
            <w:r w:rsidR="00E44632">
              <w:rPr>
                <w:rFonts w:cs="Arial"/>
              </w:rPr>
              <w:t xml:space="preserve"> do Sul</w:t>
            </w:r>
            <w:r>
              <w:rPr>
                <w:rFonts w:cs="Arial"/>
              </w:rPr>
              <w:t>, Flores</w:t>
            </w:r>
            <w:r w:rsidR="00082133">
              <w:rPr>
                <w:rFonts w:cs="Arial"/>
              </w:rPr>
              <w:t xml:space="preserve"> da Cunha, </w:t>
            </w:r>
            <w:r>
              <w:rPr>
                <w:rFonts w:cs="Arial"/>
              </w:rPr>
              <w:t xml:space="preserve">Bento </w:t>
            </w:r>
            <w:r w:rsidR="00082133">
              <w:rPr>
                <w:rFonts w:cs="Arial"/>
              </w:rPr>
              <w:t xml:space="preserve">Gonçalves e </w:t>
            </w:r>
            <w:r w:rsidR="00E44632">
              <w:rPr>
                <w:rFonts w:cs="Arial"/>
              </w:rPr>
              <w:t xml:space="preserve">Pinto Bandeira, </w:t>
            </w:r>
            <w:r w:rsidR="00082133">
              <w:rPr>
                <w:rFonts w:cs="Arial"/>
              </w:rPr>
              <w:t>e que repassou os contatos das prefeituras para a funcionária Alessandra.</w:t>
            </w:r>
            <w:r w:rsidR="00DD1C70">
              <w:rPr>
                <w:rFonts w:cs="Arial"/>
              </w:rPr>
              <w:t xml:space="preserve"> </w:t>
            </w:r>
            <w:r w:rsidR="00082133">
              <w:rPr>
                <w:rFonts w:cs="Arial"/>
              </w:rPr>
              <w:t>O Conselheiro também citou que faltam seis termos</w:t>
            </w:r>
            <w:r w:rsidR="00E44632">
              <w:rPr>
                <w:rFonts w:cs="Arial"/>
              </w:rPr>
              <w:t xml:space="preserve"> para região serrana, Nova Pádua, São Marcos, Monte Belo do Sul, Garibaldi, </w:t>
            </w:r>
            <w:r w:rsidR="00082133">
              <w:rPr>
                <w:rFonts w:cs="Arial"/>
              </w:rPr>
              <w:t>Santa Ter</w:t>
            </w:r>
            <w:r w:rsidR="00E44632">
              <w:rPr>
                <w:rFonts w:cs="Arial"/>
              </w:rPr>
              <w:t>e</w:t>
            </w:r>
            <w:r w:rsidR="00082133">
              <w:rPr>
                <w:rFonts w:cs="Arial"/>
              </w:rPr>
              <w:t>za e</w:t>
            </w:r>
            <w:r w:rsidR="00E44632">
              <w:rPr>
                <w:rFonts w:cs="Arial"/>
              </w:rPr>
              <w:t xml:space="preserve"> Farroupilha, </w:t>
            </w:r>
            <w:r w:rsidR="00082133">
              <w:rPr>
                <w:rFonts w:cs="Arial"/>
              </w:rPr>
              <w:t xml:space="preserve">e que </w:t>
            </w:r>
            <w:proofErr w:type="gramStart"/>
            <w:r w:rsidR="00082133">
              <w:rPr>
                <w:rFonts w:cs="Arial"/>
              </w:rPr>
              <w:t>esses serão</w:t>
            </w:r>
            <w:proofErr w:type="gramEnd"/>
            <w:r w:rsidR="00082133">
              <w:rPr>
                <w:rFonts w:cs="Arial"/>
              </w:rPr>
              <w:t xml:space="preserve"> providenciados pelo Secretário Sérgio</w:t>
            </w:r>
            <w:r w:rsidR="00DD1C70">
              <w:rPr>
                <w:rFonts w:cs="Arial"/>
              </w:rPr>
              <w:t>,</w:t>
            </w:r>
            <w:r w:rsidR="00082133">
              <w:rPr>
                <w:rFonts w:cs="Arial"/>
              </w:rPr>
              <w:t xml:space="preserve"> e serão</w:t>
            </w:r>
            <w:r w:rsidR="00E44632">
              <w:rPr>
                <w:rFonts w:cs="Arial"/>
              </w:rPr>
              <w:t xml:space="preserve"> entregue</w:t>
            </w:r>
            <w:r w:rsidR="00082133">
              <w:rPr>
                <w:rFonts w:cs="Arial"/>
              </w:rPr>
              <w:t>s no</w:t>
            </w:r>
            <w:r w:rsidR="00E44632">
              <w:rPr>
                <w:rFonts w:cs="Arial"/>
              </w:rPr>
              <w:t xml:space="preserve"> dia 22 </w:t>
            </w:r>
            <w:r w:rsidR="00082133">
              <w:rPr>
                <w:rFonts w:cs="Arial"/>
              </w:rPr>
              <w:t xml:space="preserve">de Abril, </w:t>
            </w:r>
            <w:r w:rsidR="00E44632">
              <w:rPr>
                <w:rFonts w:cs="Arial"/>
              </w:rPr>
              <w:t>em reunião do Conglomerado dos municípios da região Nordeste.</w:t>
            </w:r>
            <w:r>
              <w:rPr>
                <w:rFonts w:cs="Arial"/>
              </w:rPr>
              <w:t xml:space="preserve"> </w:t>
            </w:r>
          </w:p>
          <w:p w:rsidR="00591552" w:rsidRDefault="00591552" w:rsidP="000D661B">
            <w:pPr>
              <w:jc w:val="both"/>
              <w:rPr>
                <w:rFonts w:cs="Arial"/>
              </w:rPr>
            </w:pPr>
          </w:p>
          <w:p w:rsidR="00C714F8" w:rsidRDefault="00082133" w:rsidP="00C714F8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Em relação a</w:t>
            </w:r>
            <w:r w:rsidR="00E44632">
              <w:rPr>
                <w:rFonts w:cs="Arial"/>
              </w:rPr>
              <w:t xml:space="preserve">os demais </w:t>
            </w:r>
            <w:proofErr w:type="gramStart"/>
            <w:r w:rsidR="00E44632">
              <w:rPr>
                <w:rFonts w:cs="Arial"/>
              </w:rPr>
              <w:t>termos, foi</w:t>
            </w:r>
            <w:proofErr w:type="gramEnd"/>
            <w:r w:rsidR="00E44632">
              <w:rPr>
                <w:rFonts w:cs="Arial"/>
              </w:rPr>
              <w:t xml:space="preserve"> discutida a importância de firmar convênio</w:t>
            </w:r>
            <w:r>
              <w:rPr>
                <w:rFonts w:cs="Arial"/>
              </w:rPr>
              <w:t>s</w:t>
            </w:r>
            <w:r w:rsidR="00E44632">
              <w:rPr>
                <w:rFonts w:cs="Arial"/>
              </w:rPr>
              <w:t xml:space="preserve"> </w:t>
            </w:r>
            <w:r w:rsidR="00591552">
              <w:rPr>
                <w:rFonts w:cs="Arial"/>
              </w:rPr>
              <w:t>com os Bombeiros e M</w:t>
            </w:r>
            <w:r w:rsidR="00E44632">
              <w:rPr>
                <w:rFonts w:cs="Arial"/>
              </w:rPr>
              <w:t xml:space="preserve">inistério </w:t>
            </w:r>
            <w:r w:rsidR="00591552">
              <w:rPr>
                <w:rFonts w:cs="Arial"/>
              </w:rPr>
              <w:t>P</w:t>
            </w:r>
            <w:r w:rsidR="00E44632">
              <w:rPr>
                <w:rFonts w:cs="Arial"/>
              </w:rPr>
              <w:t xml:space="preserve">úblico. Assessora </w:t>
            </w:r>
            <w:proofErr w:type="spellStart"/>
            <w:r w:rsidR="00E44632">
              <w:rPr>
                <w:rFonts w:cs="Arial"/>
              </w:rPr>
              <w:t>Maríndia</w:t>
            </w:r>
            <w:proofErr w:type="spellEnd"/>
            <w:r w:rsidR="00E44632">
              <w:rPr>
                <w:rFonts w:cs="Arial"/>
              </w:rPr>
              <w:t xml:space="preserve"> relata</w:t>
            </w:r>
            <w:r w:rsidR="00591552">
              <w:rPr>
                <w:rFonts w:cs="Arial"/>
              </w:rPr>
              <w:t xml:space="preserve"> </w:t>
            </w:r>
            <w:r w:rsidR="00E44632">
              <w:rPr>
                <w:rFonts w:cs="Arial"/>
              </w:rPr>
              <w:t xml:space="preserve">que </w:t>
            </w:r>
            <w:r w:rsidR="00591552">
              <w:rPr>
                <w:rFonts w:cs="Arial"/>
              </w:rPr>
              <w:t>foi entregue ao Corpo de Bombeiros uma proposta de termo</w:t>
            </w:r>
            <w:r w:rsidR="00E44632">
              <w:rPr>
                <w:rFonts w:cs="Arial"/>
              </w:rPr>
              <w:t>, em reunião ocorrida na sede da corporação</w:t>
            </w:r>
            <w:r w:rsidR="00591552">
              <w:rPr>
                <w:rFonts w:cs="Arial"/>
              </w:rPr>
              <w:t>. Foram solicitadas cópias desse</w:t>
            </w:r>
            <w:r w:rsidR="006206A0">
              <w:rPr>
                <w:rFonts w:cs="Arial"/>
              </w:rPr>
              <w:t>s</w:t>
            </w:r>
            <w:r w:rsidR="00591552">
              <w:rPr>
                <w:rFonts w:cs="Arial"/>
              </w:rPr>
              <w:t xml:space="preserve"> termos para análise dos membros da Comissão. </w:t>
            </w:r>
            <w:r w:rsidR="00E44632">
              <w:rPr>
                <w:rFonts w:cs="Arial"/>
              </w:rPr>
              <w:t xml:space="preserve">Foi citado pelo Conselheiro </w:t>
            </w:r>
            <w:proofErr w:type="spellStart"/>
            <w:r w:rsidR="00E44632">
              <w:rPr>
                <w:rFonts w:cs="Arial"/>
              </w:rPr>
              <w:t>Pedone</w:t>
            </w:r>
            <w:proofErr w:type="spellEnd"/>
            <w:r w:rsidR="00E44632">
              <w:rPr>
                <w:rFonts w:cs="Arial"/>
              </w:rPr>
              <w:t>, o projeto de Interface do CAU/MG, que visa trabalhar de forma integr</w:t>
            </w:r>
            <w:r>
              <w:rPr>
                <w:rFonts w:cs="Arial"/>
              </w:rPr>
              <w:t>ada com outros órgãos públicos. E</w:t>
            </w:r>
            <w:r w:rsidR="00E44632">
              <w:rPr>
                <w:rFonts w:cs="Arial"/>
              </w:rPr>
              <w:t xml:space="preserve"> trazendo à realidade do Rio Grande do Sul,</w:t>
            </w:r>
            <w:proofErr w:type="gramStart"/>
            <w:r w:rsidR="00E44632">
              <w:rPr>
                <w:rFonts w:cs="Arial"/>
              </w:rPr>
              <w:t xml:space="preserve"> </w:t>
            </w:r>
            <w:r w:rsidR="00591552">
              <w:rPr>
                <w:rFonts w:cs="Arial"/>
              </w:rPr>
              <w:t xml:space="preserve"> </w:t>
            </w:r>
            <w:proofErr w:type="gramEnd"/>
            <w:r w:rsidR="00E44632">
              <w:rPr>
                <w:rFonts w:cs="Arial"/>
              </w:rPr>
              <w:t xml:space="preserve">foram citados como exemplos de órgãos para serem contatados para futuras parcerias, a </w:t>
            </w:r>
            <w:proofErr w:type="spellStart"/>
            <w:r w:rsidR="00E44632">
              <w:rPr>
                <w:rFonts w:cs="Arial"/>
              </w:rPr>
              <w:t>Corsan</w:t>
            </w:r>
            <w:proofErr w:type="spellEnd"/>
            <w:r w:rsidR="00E44632">
              <w:rPr>
                <w:rFonts w:cs="Arial"/>
              </w:rPr>
              <w:t xml:space="preserve">, RGE e o </w:t>
            </w:r>
            <w:r w:rsidR="00591552">
              <w:rPr>
                <w:rFonts w:cs="Arial"/>
              </w:rPr>
              <w:t>Ministério do Tra</w:t>
            </w:r>
            <w:r w:rsidR="00E44632">
              <w:rPr>
                <w:rFonts w:cs="Arial"/>
              </w:rPr>
              <w:t>balho</w:t>
            </w:r>
            <w:r w:rsidR="0054243C">
              <w:rPr>
                <w:rFonts w:cs="Arial"/>
              </w:rPr>
              <w:t>, e que levará esse assunto ao Conselho Diretor</w:t>
            </w:r>
            <w:r w:rsidR="00E44632">
              <w:rPr>
                <w:rFonts w:cs="Arial"/>
              </w:rPr>
              <w:t>. Conselheira Rosana relatou</w:t>
            </w:r>
            <w:r w:rsidR="00591552">
              <w:rPr>
                <w:rFonts w:cs="Arial"/>
              </w:rPr>
              <w:t xml:space="preserve"> que os bombeiros exigem RRT para aprovação de projetos e têm um cadastro de profissionais, </w:t>
            </w:r>
            <w:r w:rsidR="00E44632">
              <w:rPr>
                <w:rFonts w:cs="Arial"/>
              </w:rPr>
              <w:t xml:space="preserve">e que </w:t>
            </w:r>
            <w:r w:rsidR="00591552">
              <w:rPr>
                <w:rFonts w:cs="Arial"/>
              </w:rPr>
              <w:t>é importante para o CAU ter ac</w:t>
            </w:r>
            <w:r w:rsidR="00E44632">
              <w:rPr>
                <w:rFonts w:cs="Arial"/>
              </w:rPr>
              <w:t xml:space="preserve">esso a essa lista para saber o nome dos </w:t>
            </w:r>
            <w:r w:rsidR="00591552">
              <w:rPr>
                <w:rFonts w:cs="Arial"/>
              </w:rPr>
              <w:t>arquitetos que es</w:t>
            </w:r>
            <w:r w:rsidR="00C714F8">
              <w:rPr>
                <w:rFonts w:cs="Arial"/>
              </w:rPr>
              <w:t>tão trabalhando com PPCI no RS. A Conselheira</w:t>
            </w:r>
            <w:proofErr w:type="gramStart"/>
            <w:r w:rsidR="00C714F8">
              <w:rPr>
                <w:rFonts w:cs="Arial"/>
              </w:rPr>
              <w:t xml:space="preserve">  </w:t>
            </w:r>
            <w:proofErr w:type="gramEnd"/>
            <w:r w:rsidR="00C714F8">
              <w:rPr>
                <w:rFonts w:cs="Arial"/>
              </w:rPr>
              <w:t xml:space="preserve">também ressaltou a importância da definição das atribuições de cada órgão no caso de </w:t>
            </w:r>
            <w:r w:rsidR="00DD1C70">
              <w:rPr>
                <w:rFonts w:cs="Arial"/>
              </w:rPr>
              <w:t>fiscalização integrada, e que ficará res</w:t>
            </w:r>
            <w:r w:rsidR="0054243C">
              <w:rPr>
                <w:rFonts w:cs="Arial"/>
              </w:rPr>
              <w:t>ponsável pela revisão da minuta de termo de</w:t>
            </w:r>
            <w:r w:rsidR="00C714F8">
              <w:rPr>
                <w:rFonts w:cs="Arial"/>
              </w:rPr>
              <w:t xml:space="preserve"> </w:t>
            </w:r>
            <w:r w:rsidR="0054243C">
              <w:rPr>
                <w:rFonts w:cs="Arial"/>
              </w:rPr>
              <w:t xml:space="preserve">convênio com o Corpo de Bombeiros. </w:t>
            </w:r>
          </w:p>
          <w:p w:rsidR="00591552" w:rsidRDefault="00E44632" w:rsidP="000D661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Agente Rogério relatou</w:t>
            </w:r>
            <w:r w:rsidR="00591552">
              <w:rPr>
                <w:rFonts w:cs="Arial"/>
              </w:rPr>
              <w:t xml:space="preserve"> que o IPHAN já está usando o sistema de </w:t>
            </w:r>
            <w:proofErr w:type="spellStart"/>
            <w:r w:rsidR="00591552">
              <w:rPr>
                <w:rFonts w:cs="Arial"/>
              </w:rPr>
              <w:t>georreferenciamento</w:t>
            </w:r>
            <w:proofErr w:type="spellEnd"/>
            <w:r w:rsidR="00591552">
              <w:rPr>
                <w:rFonts w:cs="Arial"/>
              </w:rPr>
              <w:t xml:space="preserve"> e que fará um contato com o órgão </w:t>
            </w:r>
            <w:r w:rsidR="006206A0">
              <w:rPr>
                <w:rFonts w:cs="Arial"/>
              </w:rPr>
              <w:t>para saber como esse sistema está sendo utilizado lá e quem é o responsável no RS</w:t>
            </w:r>
            <w:r w:rsidR="0054243C">
              <w:rPr>
                <w:rFonts w:cs="Arial"/>
              </w:rPr>
              <w:t>.</w:t>
            </w:r>
          </w:p>
          <w:p w:rsidR="006206A0" w:rsidRDefault="00082133" w:rsidP="000D661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Foi </w:t>
            </w:r>
            <w:r w:rsidR="006206A0">
              <w:rPr>
                <w:rFonts w:cs="Arial"/>
              </w:rPr>
              <w:t>i</w:t>
            </w:r>
            <w:r>
              <w:rPr>
                <w:rFonts w:cs="Arial"/>
              </w:rPr>
              <w:t>nformado pela funcionária Alessandra que o</w:t>
            </w:r>
            <w:r w:rsidR="0054243C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arquitetos</w:t>
            </w:r>
            <w:r w:rsidR="004B0979">
              <w:rPr>
                <w:rFonts w:cs="Arial"/>
              </w:rPr>
              <w:t xml:space="preserve"> do CAU/</w:t>
            </w:r>
            <w:r w:rsidR="006206A0">
              <w:rPr>
                <w:rFonts w:cs="Arial"/>
              </w:rPr>
              <w:t>RS estão pa</w:t>
            </w:r>
            <w:r>
              <w:rPr>
                <w:rFonts w:cs="Arial"/>
              </w:rPr>
              <w:t>ssando por um recadastramento para</w:t>
            </w:r>
            <w:r w:rsidR="006206A0">
              <w:rPr>
                <w:rFonts w:cs="Arial"/>
              </w:rPr>
              <w:t xml:space="preserve"> acesso</w:t>
            </w:r>
            <w:r>
              <w:rPr>
                <w:rFonts w:cs="Arial"/>
              </w:rPr>
              <w:t xml:space="preserve"> ao IGEO</w:t>
            </w:r>
            <w:r w:rsidR="006206A0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e que essa medida</w:t>
            </w:r>
            <w:proofErr w:type="gramStart"/>
            <w:r>
              <w:rPr>
                <w:rFonts w:cs="Arial"/>
              </w:rPr>
              <w:t xml:space="preserve">  </w:t>
            </w:r>
            <w:proofErr w:type="gramEnd"/>
            <w:r>
              <w:rPr>
                <w:rFonts w:cs="Arial"/>
              </w:rPr>
              <w:t xml:space="preserve">tem como objetivo conhecer com exatidão </w:t>
            </w:r>
            <w:r w:rsidR="006206A0">
              <w:rPr>
                <w:rFonts w:cs="Arial"/>
              </w:rPr>
              <w:t>os funcionários que acessam</w:t>
            </w:r>
            <w:r w:rsidR="0054243C">
              <w:rPr>
                <w:rFonts w:cs="Arial"/>
              </w:rPr>
              <w:t xml:space="preserve"> o sistema.   </w:t>
            </w:r>
          </w:p>
          <w:p w:rsidR="0054243C" w:rsidRDefault="0054243C" w:rsidP="000D661B">
            <w:pPr>
              <w:jc w:val="both"/>
              <w:rPr>
                <w:rFonts w:cs="Arial"/>
              </w:rPr>
            </w:pPr>
          </w:p>
          <w:p w:rsidR="0054243C" w:rsidRDefault="0054243C" w:rsidP="000D661B">
            <w:pPr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Obs</w:t>
            </w:r>
            <w:proofErr w:type="spellEnd"/>
            <w:r>
              <w:rPr>
                <w:rFonts w:cs="Arial"/>
              </w:rPr>
              <w:t xml:space="preserve">: Além dos arquitetos que trabalham no CAU/RS, 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também tem acesso ao IGEO.</w:t>
            </w:r>
          </w:p>
          <w:p w:rsidR="0054243C" w:rsidRDefault="0054243C" w:rsidP="000D661B">
            <w:pPr>
              <w:jc w:val="both"/>
              <w:rPr>
                <w:rFonts w:cs="Arial"/>
              </w:rPr>
            </w:pPr>
          </w:p>
          <w:p w:rsidR="0054243C" w:rsidRDefault="0054243C" w:rsidP="000D661B">
            <w:pPr>
              <w:jc w:val="both"/>
              <w:rPr>
                <w:rFonts w:cs="Arial"/>
              </w:rPr>
            </w:pPr>
          </w:p>
          <w:p w:rsidR="009D14E3" w:rsidRDefault="006206A0" w:rsidP="000D661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Denúncia 769 – foi enviada notificação a empresa por falta de </w:t>
            </w:r>
            <w:proofErr w:type="gramStart"/>
            <w:r>
              <w:rPr>
                <w:rFonts w:cs="Arial"/>
              </w:rPr>
              <w:t>registro</w:t>
            </w:r>
            <w:r w:rsidR="009D14E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,</w:t>
            </w:r>
            <w:proofErr w:type="gramEnd"/>
            <w:r w:rsidR="009D14E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 proprietária entrou em contato dizendo que o responsável técnico é um estudante de arquitetura. </w:t>
            </w:r>
            <w:r w:rsidR="009D14E3">
              <w:rPr>
                <w:rFonts w:cs="Arial"/>
              </w:rPr>
              <w:t xml:space="preserve"> A Comissão discutiu qual a real infração para fins de autuação, se seria por exercício ilegal ou uso indevido do nome.  Ass. </w:t>
            </w:r>
            <w:proofErr w:type="spellStart"/>
            <w:r w:rsidR="009D14E3">
              <w:rPr>
                <w:rFonts w:cs="Arial"/>
              </w:rPr>
              <w:t>Maríndia</w:t>
            </w:r>
            <w:proofErr w:type="spellEnd"/>
            <w:r w:rsidR="009D14E3">
              <w:rPr>
                <w:rFonts w:cs="Arial"/>
              </w:rPr>
              <w:t xml:space="preserve"> entende que a falta maior é o uso indevido do nome.  Foi solicitada nova notificação para orientar que ou a empresa retira o no</w:t>
            </w:r>
            <w:r w:rsidR="00D64D69">
              <w:rPr>
                <w:rFonts w:cs="Arial"/>
              </w:rPr>
              <w:t>me de arquitetura ou se registra</w:t>
            </w:r>
            <w:r w:rsidR="009D14E3">
              <w:rPr>
                <w:rFonts w:cs="Arial"/>
              </w:rPr>
              <w:t xml:space="preserve"> no CAU e contrata</w:t>
            </w:r>
            <w:r w:rsidR="00D64D69">
              <w:rPr>
                <w:rFonts w:cs="Arial"/>
              </w:rPr>
              <w:t xml:space="preserve"> um responsável técnico.</w:t>
            </w:r>
            <w:r w:rsidR="009D14E3">
              <w:rPr>
                <w:rFonts w:cs="Arial"/>
              </w:rPr>
              <w:t xml:space="preserve"> Ass. </w:t>
            </w:r>
            <w:proofErr w:type="spellStart"/>
            <w:r w:rsidR="009D14E3">
              <w:rPr>
                <w:rFonts w:cs="Arial"/>
              </w:rPr>
              <w:t>Maríndia</w:t>
            </w:r>
            <w:proofErr w:type="spellEnd"/>
            <w:r w:rsidR="00D64D69">
              <w:rPr>
                <w:rFonts w:cs="Arial"/>
              </w:rPr>
              <w:t xml:space="preserve"> também citou</w:t>
            </w:r>
            <w:r w:rsidR="009D14E3">
              <w:rPr>
                <w:rFonts w:cs="Arial"/>
              </w:rPr>
              <w:t xml:space="preserve"> que a notificação tem caráter </w:t>
            </w:r>
            <w:proofErr w:type="spellStart"/>
            <w:r w:rsidR="009D14E3">
              <w:rPr>
                <w:rFonts w:cs="Arial"/>
              </w:rPr>
              <w:t>orient</w:t>
            </w:r>
            <w:r w:rsidR="00710FAF">
              <w:rPr>
                <w:rFonts w:cs="Arial"/>
              </w:rPr>
              <w:t>ativo</w:t>
            </w:r>
            <w:proofErr w:type="spellEnd"/>
            <w:r w:rsidR="00710FAF">
              <w:rPr>
                <w:rFonts w:cs="Arial"/>
              </w:rPr>
              <w:t xml:space="preserve">, citando as providências em forma de comunicado, já que a notificação do SICCAU não consta um campo para providências, com destaque para os termos da legislação que rege o registro de empresas. </w:t>
            </w:r>
          </w:p>
          <w:p w:rsidR="004119B6" w:rsidRDefault="004119B6" w:rsidP="000D661B">
            <w:pPr>
              <w:jc w:val="both"/>
              <w:rPr>
                <w:rFonts w:cs="Arial"/>
              </w:rPr>
            </w:pPr>
          </w:p>
          <w:p w:rsidR="00D527D8" w:rsidRDefault="00D527D8" w:rsidP="00D527D8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941 -</w:t>
            </w:r>
            <w:proofErr w:type="gramStart"/>
            <w:r>
              <w:rPr>
                <w:rFonts w:cs="Arial"/>
              </w:rPr>
              <w:t xml:space="preserve">  </w:t>
            </w:r>
            <w:proofErr w:type="gramEnd"/>
            <w:r>
              <w:rPr>
                <w:rFonts w:cs="Arial"/>
              </w:rPr>
              <w:t>Foi informado pela denunciante que houve um acordo entre as par</w:t>
            </w:r>
            <w:r w:rsidR="0054243C">
              <w:rPr>
                <w:rFonts w:cs="Arial"/>
              </w:rPr>
              <w:t>t</w:t>
            </w:r>
            <w:r>
              <w:rPr>
                <w:rFonts w:cs="Arial"/>
              </w:rPr>
              <w:t xml:space="preserve">es. Comissão demandou solicitar a </w:t>
            </w:r>
            <w:r>
              <w:rPr>
                <w:rFonts w:cs="Arial"/>
              </w:rPr>
              <w:lastRenderedPageBreak/>
              <w:t>formalização da retirada do processo</w:t>
            </w:r>
            <w:proofErr w:type="gramStart"/>
            <w:r>
              <w:rPr>
                <w:rFonts w:cs="Arial"/>
              </w:rPr>
              <w:t xml:space="preserve">  </w:t>
            </w:r>
            <w:proofErr w:type="gramEnd"/>
            <w:r>
              <w:rPr>
                <w:rFonts w:cs="Arial"/>
              </w:rPr>
              <w:t>pela denunciante e posterior arquivamento da denúncia</w:t>
            </w:r>
          </w:p>
          <w:p w:rsidR="002C5B76" w:rsidRDefault="006B216B" w:rsidP="007D1E03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991 -</w:t>
            </w:r>
            <w:proofErr w:type="gramStart"/>
            <w:r>
              <w:rPr>
                <w:rFonts w:cs="Arial"/>
              </w:rPr>
              <w:t xml:space="preserve">  </w:t>
            </w:r>
            <w:proofErr w:type="gramEnd"/>
            <w:r>
              <w:rPr>
                <w:rFonts w:cs="Arial"/>
              </w:rPr>
              <w:t>Em contato feito pela Prefeitura de Campo Bom, a F</w:t>
            </w:r>
            <w:r w:rsidR="00653E57">
              <w:rPr>
                <w:rFonts w:cs="Arial"/>
              </w:rPr>
              <w:t>iscal informou que a construtora vai derrubar o que est</w:t>
            </w:r>
            <w:r>
              <w:rPr>
                <w:rFonts w:cs="Arial"/>
              </w:rPr>
              <w:t>á irregular e começar do zero (acordo entre o  responsável técnico e a prefeitura). F</w:t>
            </w:r>
            <w:r w:rsidR="00653E57">
              <w:rPr>
                <w:rFonts w:cs="Arial"/>
              </w:rPr>
              <w:t xml:space="preserve">oi verificado que a empresa que está fazendo a obra não tem registro no CAU, e que </w:t>
            </w:r>
            <w:r>
              <w:rPr>
                <w:rFonts w:cs="Arial"/>
              </w:rPr>
              <w:t xml:space="preserve">o responsável técnico </w:t>
            </w:r>
            <w:r w:rsidR="00653E57">
              <w:rPr>
                <w:rFonts w:cs="Arial"/>
              </w:rPr>
              <w:t xml:space="preserve">tem duas empresas registradas, uma no CAU e outra no </w:t>
            </w:r>
            <w:proofErr w:type="gramStart"/>
            <w:r w:rsidR="00653E57">
              <w:rPr>
                <w:rFonts w:cs="Arial"/>
              </w:rPr>
              <w:t>Crea</w:t>
            </w:r>
            <w:proofErr w:type="gramEnd"/>
            <w:r w:rsidR="00653E57">
              <w:rPr>
                <w:rFonts w:cs="Arial"/>
              </w:rPr>
              <w:t xml:space="preserve">. </w:t>
            </w:r>
            <w:r w:rsidR="007D1E03">
              <w:rPr>
                <w:rFonts w:cs="Arial"/>
              </w:rPr>
              <w:t xml:space="preserve"> Conselheira Rosana citou que esse acordo entre prefeitura e profissional deve ser documentado para que</w:t>
            </w:r>
            <w:r w:rsidR="002C5B76">
              <w:rPr>
                <w:rFonts w:cs="Arial"/>
              </w:rPr>
              <w:t xml:space="preserve"> denúncia possa ser concluída e arquivada. .</w:t>
            </w:r>
            <w:r w:rsidR="00A1285E">
              <w:rPr>
                <w:rFonts w:cs="Arial"/>
              </w:rPr>
              <w:t xml:space="preserve">  </w:t>
            </w:r>
          </w:p>
          <w:p w:rsidR="00F61506" w:rsidRDefault="00A1285E" w:rsidP="007D1E03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Agente Fisca</w:t>
            </w:r>
            <w:r w:rsidR="00D527D8">
              <w:rPr>
                <w:rFonts w:cs="Arial"/>
              </w:rPr>
              <w:t>l Rogério traz a demanda da CED/</w:t>
            </w:r>
            <w:r>
              <w:rPr>
                <w:rFonts w:cs="Arial"/>
              </w:rPr>
              <w:t>RS sobre a utilização de adesivos pra identificar as obras fiscalizadas. Conselheira Clarissa diz que os clientes muitas vezes exigem esse adesivo e que esse poss</w:t>
            </w:r>
            <w:r w:rsidR="0054243C">
              <w:rPr>
                <w:rFonts w:cs="Arial"/>
              </w:rPr>
              <w:t xml:space="preserve">a vim junto à impressão do RRT. Foi definido pela Comissão que esse assunto deve constar na pauta da próxima reunião. </w:t>
            </w:r>
            <w:r w:rsidR="002135AB">
              <w:rPr>
                <w:rFonts w:cs="Arial"/>
              </w:rPr>
              <w:t xml:space="preserve">Ass. </w:t>
            </w:r>
            <w:proofErr w:type="spellStart"/>
            <w:r w:rsidR="002135AB">
              <w:rPr>
                <w:rFonts w:cs="Arial"/>
              </w:rPr>
              <w:t>Maríndia</w:t>
            </w:r>
            <w:proofErr w:type="spellEnd"/>
            <w:r w:rsidR="002135AB">
              <w:rPr>
                <w:rFonts w:cs="Arial"/>
              </w:rPr>
              <w:t xml:space="preserve"> citou q</w:t>
            </w:r>
            <w:r w:rsidR="0054243C">
              <w:rPr>
                <w:rFonts w:cs="Arial"/>
              </w:rPr>
              <w:t>ue foi questionada pela CED/RS sobre</w:t>
            </w:r>
            <w:r w:rsidR="004A6E11">
              <w:rPr>
                <w:rFonts w:cs="Arial"/>
              </w:rPr>
              <w:t xml:space="preserve"> a</w:t>
            </w:r>
            <w:r w:rsidR="0054243C">
              <w:rPr>
                <w:rFonts w:cs="Arial"/>
              </w:rPr>
              <w:t xml:space="preserve"> situação da</w:t>
            </w:r>
            <w:proofErr w:type="gramStart"/>
            <w:r w:rsidR="0054243C">
              <w:rPr>
                <w:rFonts w:cs="Arial"/>
              </w:rPr>
              <w:t xml:space="preserve">  </w:t>
            </w:r>
            <w:proofErr w:type="gramEnd"/>
            <w:r w:rsidR="0054243C">
              <w:rPr>
                <w:rFonts w:cs="Arial"/>
              </w:rPr>
              <w:t xml:space="preserve">fiscalização </w:t>
            </w:r>
            <w:r w:rsidR="004A6E11">
              <w:rPr>
                <w:rFonts w:cs="Arial"/>
              </w:rPr>
              <w:t xml:space="preserve">do CAU, e informou a Conselheira </w:t>
            </w:r>
            <w:r w:rsidR="002135AB">
              <w:rPr>
                <w:rFonts w:cs="Arial"/>
              </w:rPr>
              <w:t xml:space="preserve"> Núbia que a fiscalização está sendo planejada e que o Agente Fiscal Rogério foi chamado na reunião da CED/RS para explanar sobre </w:t>
            </w:r>
            <w:r w:rsidR="004A6E11">
              <w:rPr>
                <w:rFonts w:cs="Arial"/>
              </w:rPr>
              <w:t>o andamento da fiscalização. A C</w:t>
            </w:r>
            <w:r w:rsidR="002135AB">
              <w:rPr>
                <w:rFonts w:cs="Arial"/>
              </w:rPr>
              <w:t>omissão decidiu tratar esse assunto junto à CED e que o plano de fiscalização deverá ser conclu</w:t>
            </w:r>
            <w:r w:rsidR="004A6E11">
              <w:rPr>
                <w:rFonts w:cs="Arial"/>
              </w:rPr>
              <w:t>ído</w:t>
            </w:r>
            <w:proofErr w:type="gramStart"/>
            <w:r w:rsidR="004A6E11">
              <w:rPr>
                <w:rFonts w:cs="Arial"/>
              </w:rPr>
              <w:t xml:space="preserve">  </w:t>
            </w:r>
            <w:proofErr w:type="gramEnd"/>
            <w:r w:rsidR="004A6E11">
              <w:rPr>
                <w:rFonts w:cs="Arial"/>
              </w:rPr>
              <w:t xml:space="preserve">e apresentado em </w:t>
            </w:r>
            <w:r w:rsidR="00F52C36">
              <w:rPr>
                <w:rFonts w:cs="Arial"/>
              </w:rPr>
              <w:t>plenária para aprovação e definição da execução do plano</w:t>
            </w:r>
            <w:r w:rsidR="004A6E11">
              <w:rPr>
                <w:rFonts w:cs="Arial"/>
              </w:rPr>
              <w:t xml:space="preserve"> de ação </w:t>
            </w:r>
            <w:r w:rsidR="00F52C36">
              <w:rPr>
                <w:rFonts w:cs="Arial"/>
              </w:rPr>
              <w:t>, inclusive com a possibilidade de c</w:t>
            </w:r>
            <w:r w:rsidR="004A6E11">
              <w:rPr>
                <w:rFonts w:cs="Arial"/>
              </w:rPr>
              <w:t>ontratação dos quatro fiscais do</w:t>
            </w:r>
            <w:r w:rsidR="00F52C36">
              <w:rPr>
                <w:rFonts w:cs="Arial"/>
              </w:rPr>
              <w:t xml:space="preserve"> cadastro reserva. </w:t>
            </w:r>
            <w:r w:rsidR="002135AB">
              <w:rPr>
                <w:rFonts w:cs="Arial"/>
              </w:rPr>
              <w:t xml:space="preserve"> </w:t>
            </w:r>
            <w:r w:rsidR="00F61506">
              <w:rPr>
                <w:rFonts w:cs="Arial"/>
              </w:rPr>
              <w:t xml:space="preserve"> </w:t>
            </w:r>
          </w:p>
          <w:p w:rsidR="00F61506" w:rsidRDefault="00F61506" w:rsidP="007D1E03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A Fiscalização por sugestão da Comissão irá apresentar um gráfico com os municí</w:t>
            </w:r>
            <w:r w:rsidR="00DB2BA8">
              <w:rPr>
                <w:rFonts w:cs="Arial"/>
              </w:rPr>
              <w:t>pios de onde vê</w:t>
            </w:r>
            <w:r>
              <w:rPr>
                <w:rFonts w:cs="Arial"/>
              </w:rPr>
              <w:t>m as denúncias.</w:t>
            </w:r>
            <w:r w:rsidR="00F52C36">
              <w:rPr>
                <w:rFonts w:cs="Arial"/>
              </w:rPr>
              <w:t xml:space="preserve">  </w:t>
            </w:r>
            <w:r w:rsidR="00DB2BA8">
              <w:rPr>
                <w:rFonts w:cs="Arial"/>
              </w:rPr>
              <w:t xml:space="preserve">  </w:t>
            </w:r>
          </w:p>
          <w:p w:rsidR="00DB2BA8" w:rsidRDefault="00DB2BA8" w:rsidP="007D1E03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>Conselhe</w:t>
            </w:r>
            <w:r w:rsidR="004A6E11">
              <w:rPr>
                <w:rFonts w:cs="Arial"/>
              </w:rPr>
              <w:t xml:space="preserve">iro </w:t>
            </w:r>
            <w:proofErr w:type="spellStart"/>
            <w:r w:rsidR="004A6E11">
              <w:rPr>
                <w:rFonts w:cs="Arial"/>
              </w:rPr>
              <w:t>Pedone</w:t>
            </w:r>
            <w:proofErr w:type="spellEnd"/>
            <w:r w:rsidR="004A6E11">
              <w:rPr>
                <w:rFonts w:cs="Arial"/>
              </w:rPr>
              <w:t xml:space="preserve"> irá passar ao Diretor Geral,</w:t>
            </w:r>
            <w:r>
              <w:rPr>
                <w:rFonts w:cs="Arial"/>
              </w:rPr>
              <w:t xml:space="preserve"> o acompanhamento das reuniões da CEP/BR. </w:t>
            </w:r>
          </w:p>
          <w:p w:rsidR="00591552" w:rsidRDefault="00DB2BA8" w:rsidP="006B216B">
            <w:pPr>
              <w:spacing w:after="20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Sobre o treinamento do IGEO, Alessandra repassou que o presidente foi informado em Boa Vista que terá um treinamento com todos os </w:t>
            </w:r>
            <w:proofErr w:type="spellStart"/>
            <w:r>
              <w:rPr>
                <w:rFonts w:cs="Arial"/>
              </w:rPr>
              <w:t>CAU’s</w:t>
            </w:r>
            <w:proofErr w:type="spellEnd"/>
            <w:r>
              <w:rPr>
                <w:rFonts w:cs="Arial"/>
              </w:rPr>
              <w:t xml:space="preserve"> UF, em data a decidir com a </w:t>
            </w:r>
            <w:proofErr w:type="spellStart"/>
            <w:r>
              <w:rPr>
                <w:rFonts w:cs="Arial"/>
              </w:rPr>
              <w:t>Notorium</w:t>
            </w:r>
            <w:proofErr w:type="spellEnd"/>
            <w:r>
              <w:rPr>
                <w:rFonts w:cs="Arial"/>
              </w:rPr>
              <w:t>, e que na próxima reunião já terá a data definida.</w:t>
            </w:r>
            <w:r w:rsidR="006B216B">
              <w:rPr>
                <w:rFonts w:cs="Arial"/>
              </w:rPr>
              <w:t xml:space="preserve"> </w:t>
            </w:r>
          </w:p>
          <w:p w:rsidR="000D661B" w:rsidRPr="005924F9" w:rsidRDefault="000D661B" w:rsidP="000D661B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lastRenderedPageBreak/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6B216B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Entregar aos Conselheiros a cópia do termo de convênio com os bombeiros 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005CAD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Unidade Técnica</w:t>
            </w:r>
          </w:p>
        </w:tc>
      </w:tr>
      <w:tr w:rsidR="005D771C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771C" w:rsidRDefault="00DD278A" w:rsidP="006B216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Preparação de </w:t>
            </w:r>
            <w:r w:rsidR="005D771C">
              <w:rPr>
                <w:rFonts w:cs="Arial"/>
              </w:rPr>
              <w:t xml:space="preserve">termos de cooperação </w:t>
            </w:r>
            <w:r w:rsidR="006B216B">
              <w:rPr>
                <w:rFonts w:cs="Arial"/>
              </w:rPr>
              <w:t>para o Conglomerado da Região Nordeste do RS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D771C" w:rsidRDefault="006B216B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Sérgio</w:t>
            </w:r>
          </w:p>
        </w:tc>
      </w:tr>
      <w:tr w:rsidR="003817BE" w:rsidRPr="00B23A4F" w:rsidTr="00706A56">
        <w:trPr>
          <w:trHeight w:val="53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6B216B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Buscar informações sobre o treinamento do IGEO feito pelo CAU/BR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Pr="00B23A4F" w:rsidRDefault="006B216B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Alessandra </w:t>
            </w:r>
          </w:p>
        </w:tc>
      </w:tr>
      <w:tr w:rsidR="00005CAD" w:rsidRPr="00B23A4F" w:rsidTr="00706A56">
        <w:trPr>
          <w:trHeight w:val="53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CAD" w:rsidRDefault="006B216B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Formular minuta de convênio com as produtoras de eventos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5CAD" w:rsidRDefault="006B216B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Agentes Fiscais</w:t>
            </w:r>
          </w:p>
        </w:tc>
      </w:tr>
      <w:tr w:rsidR="009674AC" w:rsidRPr="00B23A4F" w:rsidTr="00706A56">
        <w:trPr>
          <w:trHeight w:val="53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74AC" w:rsidRPr="00ED3EDD" w:rsidRDefault="006B216B" w:rsidP="003817BE">
            <w:pPr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Buscar junto à Comissão de Ética para reunião conjunta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74AC" w:rsidRPr="00ED3EDD" w:rsidRDefault="006B216B" w:rsidP="003817BE">
            <w:pPr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Unidade Técnica </w:t>
            </w:r>
          </w:p>
        </w:tc>
      </w:tr>
      <w:tr w:rsidR="004B0979" w:rsidRPr="00B23A4F" w:rsidTr="00706A56">
        <w:trPr>
          <w:trHeight w:val="53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0979" w:rsidRDefault="004B0979" w:rsidP="003817BE">
            <w:pPr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Contatar o IPHAN sobre utilização do sistema de </w:t>
            </w:r>
            <w:proofErr w:type="spellStart"/>
            <w:r>
              <w:rPr>
                <w:rFonts w:cs="Arial"/>
                <w:color w:val="000000" w:themeColor="text1"/>
              </w:rPr>
              <w:t>georreferenciamento</w:t>
            </w:r>
            <w:proofErr w:type="spellEnd"/>
            <w:r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B0979" w:rsidRDefault="004B0979" w:rsidP="003817BE">
            <w:pPr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Agentes Fiscais </w:t>
            </w:r>
          </w:p>
        </w:tc>
      </w:tr>
      <w:tr w:rsidR="003817BE" w:rsidRPr="00B23A4F" w:rsidTr="00E74794">
        <w:tc>
          <w:tcPr>
            <w:tcW w:w="5000" w:type="pct"/>
            <w:gridSpan w:val="3"/>
            <w:shd w:val="clear" w:color="auto" w:fill="FFC000"/>
          </w:tcPr>
          <w:p w:rsidR="003817BE" w:rsidRPr="00ED3EDD" w:rsidRDefault="003817BE" w:rsidP="00706A56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ED3EDD">
              <w:rPr>
                <w:rFonts w:cs="Arial"/>
                <w:b/>
                <w:color w:val="000000" w:themeColor="text1"/>
              </w:rPr>
              <w:t xml:space="preserve">3. </w:t>
            </w:r>
            <w:r w:rsidR="00A257EC">
              <w:rPr>
                <w:rFonts w:cs="Arial"/>
                <w:b/>
                <w:color w:val="000000" w:themeColor="text1"/>
              </w:rPr>
              <w:t xml:space="preserve">Fluxo das baixas dos </w:t>
            </w:r>
            <w:proofErr w:type="spellStart"/>
            <w:r w:rsidR="00A257EC">
              <w:rPr>
                <w:rFonts w:cs="Arial"/>
                <w:b/>
                <w:color w:val="000000" w:themeColor="text1"/>
              </w:rPr>
              <w:t>RRT’s</w:t>
            </w:r>
            <w:proofErr w:type="spellEnd"/>
          </w:p>
        </w:tc>
      </w:tr>
      <w:tr w:rsidR="003817BE" w:rsidRPr="00B23A4F" w:rsidTr="003817BE">
        <w:tc>
          <w:tcPr>
            <w:tcW w:w="5000" w:type="pct"/>
            <w:gridSpan w:val="3"/>
            <w:shd w:val="clear" w:color="auto" w:fill="FFFFFF" w:themeFill="background1"/>
          </w:tcPr>
          <w:p w:rsidR="00DB2BA8" w:rsidRDefault="00DB2BA8" w:rsidP="00AC29BA"/>
          <w:p w:rsidR="00F854A1" w:rsidRDefault="00E11E2F" w:rsidP="00AC29BA">
            <w:r>
              <w:t xml:space="preserve">Cancelamentos de </w:t>
            </w:r>
            <w:proofErr w:type="spellStart"/>
            <w:r>
              <w:t>RRT’s</w:t>
            </w:r>
            <w:proofErr w:type="spellEnd"/>
            <w:r>
              <w:t xml:space="preserve"> deliberados pela Comissão de Exercício Profissional </w:t>
            </w:r>
          </w:p>
          <w:p w:rsidR="00E11E2F" w:rsidRDefault="00E11E2F" w:rsidP="00AC29BA"/>
          <w:p w:rsidR="00E11E2F" w:rsidRDefault="00E11E2F" w:rsidP="00AC29BA">
            <w:r>
              <w:t xml:space="preserve">Processo 069 - RRT 78467 </w:t>
            </w:r>
          </w:p>
          <w:p w:rsidR="00E11E2F" w:rsidRDefault="00E11E2F" w:rsidP="00AC29BA">
            <w:r>
              <w:t xml:space="preserve">Processo 084 - RRT 725157 </w:t>
            </w:r>
          </w:p>
          <w:p w:rsidR="00E11E2F" w:rsidRDefault="00E11E2F" w:rsidP="00AC29BA">
            <w:r>
              <w:t xml:space="preserve">Processo 088 - RRT 251343 </w:t>
            </w:r>
          </w:p>
          <w:p w:rsidR="00E11E2F" w:rsidRDefault="00E11E2F" w:rsidP="00AC29BA">
            <w:r>
              <w:t xml:space="preserve">Processo 090 - RRT 251368 </w:t>
            </w:r>
          </w:p>
          <w:p w:rsidR="007274E1" w:rsidRPr="00E11E2F" w:rsidRDefault="00E11E2F" w:rsidP="00E11E2F">
            <w:r>
              <w:lastRenderedPageBreak/>
              <w:t>Processo 091</w:t>
            </w:r>
            <w:proofErr w:type="gramStart"/>
            <w:r>
              <w:t xml:space="preserve">  </w:t>
            </w:r>
            <w:proofErr w:type="gramEnd"/>
            <w:r>
              <w:t xml:space="preserve">- RRT 1081662  </w:t>
            </w:r>
            <w:bookmarkStart w:id="0" w:name="_GoBack"/>
            <w:bookmarkEnd w:id="0"/>
          </w:p>
          <w:p w:rsidR="007274E1" w:rsidRPr="00B23A4F" w:rsidRDefault="007274E1" w:rsidP="007274E1">
            <w:pPr>
              <w:jc w:val="both"/>
              <w:rPr>
                <w:rFonts w:cs="Arial"/>
                <w:b/>
              </w:rPr>
            </w:pPr>
          </w:p>
        </w:tc>
      </w:tr>
      <w:tr w:rsidR="003817BE" w:rsidTr="0086586A">
        <w:tc>
          <w:tcPr>
            <w:tcW w:w="5000" w:type="pct"/>
            <w:gridSpan w:val="3"/>
            <w:shd w:val="clear" w:color="auto" w:fill="FFC000"/>
            <w:vAlign w:val="center"/>
          </w:tcPr>
          <w:p w:rsidR="003817BE" w:rsidRDefault="004B0979" w:rsidP="00522D02">
            <w:pPr>
              <w:jc w:val="both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lastRenderedPageBreak/>
              <w:t>4</w:t>
            </w:r>
            <w:proofErr w:type="gramEnd"/>
            <w:r w:rsidR="003817BE">
              <w:rPr>
                <w:rFonts w:cs="Arial"/>
                <w:b/>
              </w:rPr>
              <w:t xml:space="preserve">  </w:t>
            </w:r>
            <w:r w:rsidR="00522D02">
              <w:rPr>
                <w:rFonts w:cs="Arial"/>
                <w:b/>
              </w:rPr>
              <w:t>Assuntos Gerais</w:t>
            </w:r>
          </w:p>
        </w:tc>
      </w:tr>
      <w:tr w:rsidR="003817BE" w:rsidTr="003817BE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20653F" w:rsidRDefault="0020653F" w:rsidP="0020653F">
            <w:pPr>
              <w:jc w:val="both"/>
              <w:rPr>
                <w:rFonts w:cs="Arial"/>
              </w:rPr>
            </w:pPr>
          </w:p>
          <w:p w:rsidR="0020653F" w:rsidRDefault="006B216B" w:rsidP="0020653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Sobre o </w:t>
            </w:r>
            <w:r w:rsidR="00F854A1">
              <w:rPr>
                <w:rFonts w:cs="Arial"/>
              </w:rPr>
              <w:t>Seminário Legislativo</w:t>
            </w:r>
            <w:proofErr w:type="gramStart"/>
            <w:r w:rsidR="00F854A1">
              <w:rPr>
                <w:rFonts w:cs="Arial"/>
              </w:rPr>
              <w:t xml:space="preserve"> </w:t>
            </w:r>
            <w:r w:rsidR="004B0979">
              <w:rPr>
                <w:rFonts w:cs="Arial"/>
              </w:rPr>
              <w:t xml:space="preserve"> </w:t>
            </w:r>
            <w:proofErr w:type="gramEnd"/>
            <w:r w:rsidR="004B0979">
              <w:rPr>
                <w:rFonts w:cs="Arial"/>
              </w:rPr>
              <w:t xml:space="preserve">do CAU/BR </w:t>
            </w:r>
            <w:r w:rsidR="00F854A1">
              <w:rPr>
                <w:rFonts w:cs="Arial"/>
              </w:rPr>
              <w:t xml:space="preserve">22 e 23 de Maio, </w:t>
            </w:r>
            <w:r w:rsidR="004B0979">
              <w:rPr>
                <w:rFonts w:cs="Arial"/>
              </w:rPr>
              <w:t xml:space="preserve"> aonde estarão presentes os </w:t>
            </w:r>
            <w:r w:rsidR="00F854A1">
              <w:rPr>
                <w:rFonts w:cs="Arial"/>
              </w:rPr>
              <w:t>Presidente</w:t>
            </w:r>
            <w:r w:rsidR="004B0979">
              <w:rPr>
                <w:rFonts w:cs="Arial"/>
              </w:rPr>
              <w:t>s</w:t>
            </w:r>
            <w:r w:rsidR="0020653F">
              <w:rPr>
                <w:rFonts w:cs="Arial"/>
              </w:rPr>
              <w:t xml:space="preserve"> </w:t>
            </w:r>
            <w:proofErr w:type="spellStart"/>
            <w:r w:rsidR="0020653F">
              <w:rPr>
                <w:rFonts w:cs="Arial"/>
              </w:rPr>
              <w:t>CAU’s</w:t>
            </w:r>
            <w:proofErr w:type="spellEnd"/>
            <w:r w:rsidR="0020653F">
              <w:rPr>
                <w:rFonts w:cs="Arial"/>
              </w:rPr>
              <w:t>/UF e</w:t>
            </w:r>
            <w:r w:rsidR="00DD278A">
              <w:rPr>
                <w:rFonts w:cs="Arial"/>
              </w:rPr>
              <w:t xml:space="preserve"> </w:t>
            </w:r>
            <w:r w:rsidR="00F854A1">
              <w:rPr>
                <w:rFonts w:cs="Arial"/>
              </w:rPr>
              <w:t xml:space="preserve">Conselheiros </w:t>
            </w:r>
            <w:r w:rsidR="0020653F">
              <w:rPr>
                <w:rFonts w:cs="Arial"/>
              </w:rPr>
              <w:t xml:space="preserve">do CAU/BR, além das entidades de classe. Conselheiro </w:t>
            </w:r>
            <w:proofErr w:type="spellStart"/>
            <w:r w:rsidR="0020653F">
              <w:rPr>
                <w:rFonts w:cs="Arial"/>
              </w:rPr>
              <w:t>Pedone</w:t>
            </w:r>
            <w:proofErr w:type="spellEnd"/>
            <w:r w:rsidR="0020653F">
              <w:rPr>
                <w:rFonts w:cs="Arial"/>
              </w:rPr>
              <w:t xml:space="preserve"> irá levar ao Conselho</w:t>
            </w:r>
            <w:r w:rsidR="00F854A1">
              <w:rPr>
                <w:rFonts w:cs="Arial"/>
              </w:rPr>
              <w:t xml:space="preserve"> Diretor</w:t>
            </w:r>
            <w:r w:rsidR="0020653F">
              <w:rPr>
                <w:rFonts w:cs="Arial"/>
              </w:rPr>
              <w:t xml:space="preserve"> a proposta de uma comitiva do CAU/RS, até mesmo para dividir as visitas aos parlamentares (Deputados e Senadores que representam o Rio Grande do Sul).   </w:t>
            </w:r>
          </w:p>
          <w:p w:rsidR="0020653F" w:rsidRDefault="0020653F" w:rsidP="0020653F">
            <w:pPr>
              <w:jc w:val="both"/>
              <w:rPr>
                <w:rFonts w:cs="Arial"/>
              </w:rPr>
            </w:pPr>
          </w:p>
          <w:p w:rsidR="0020653F" w:rsidRDefault="0020653F" w:rsidP="0020653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Conselheira Clarissa apresentou à Comissão, um ofício da Secretaria de Obras, Habitação, Urbanismo e Meio Ambiente da Prefeitura de São Gabriel/RS, para indicação de um representante titular e de um suplente para composição do Conselho Municipal de Habitação e Saneamento. A própria Conselheira se posicionou para assumir a titularidade dessa representação, e</w:t>
            </w:r>
            <w:r w:rsidR="00C27BE4">
              <w:rPr>
                <w:rFonts w:cs="Arial"/>
              </w:rPr>
              <w:t xml:space="preserve"> indicou a Arquiteta e Urbanista Maria Elizabeth </w:t>
            </w:r>
            <w:proofErr w:type="spellStart"/>
            <w:r w:rsidR="00C27BE4">
              <w:rPr>
                <w:rFonts w:cs="Arial"/>
              </w:rPr>
              <w:t>Heckler</w:t>
            </w:r>
            <w:proofErr w:type="spellEnd"/>
            <w:r w:rsidR="00C27BE4">
              <w:rPr>
                <w:rFonts w:cs="Arial"/>
              </w:rPr>
              <w:t xml:space="preserve"> Mello para representante suplente. Como o ofício está endereçado ao CAU, será encaminhado ao presidente, e posteriormente à </w:t>
            </w:r>
            <w:proofErr w:type="spellStart"/>
            <w:r w:rsidR="00C27BE4">
              <w:rPr>
                <w:rFonts w:cs="Arial"/>
              </w:rPr>
              <w:t>Plenaria</w:t>
            </w:r>
            <w:proofErr w:type="spellEnd"/>
            <w:r w:rsidR="00C27BE4">
              <w:rPr>
                <w:rFonts w:cs="Arial"/>
              </w:rPr>
              <w:t xml:space="preserve"> via deliberação da Comissão de Exercício Profissional. </w:t>
            </w:r>
            <w:r w:rsidR="00E44632">
              <w:rPr>
                <w:rFonts w:cs="Arial"/>
              </w:rPr>
              <w:t xml:space="preserve"> </w:t>
            </w:r>
          </w:p>
          <w:p w:rsidR="0020653F" w:rsidRDefault="0020653F" w:rsidP="0020653F">
            <w:pPr>
              <w:jc w:val="both"/>
              <w:rPr>
                <w:rFonts w:cs="Arial"/>
              </w:rPr>
            </w:pPr>
          </w:p>
          <w:p w:rsidR="00BA139B" w:rsidRDefault="00BA139B" w:rsidP="003817BE">
            <w:pPr>
              <w:jc w:val="both"/>
              <w:rPr>
                <w:rFonts w:cs="Arial"/>
              </w:rPr>
            </w:pPr>
          </w:p>
          <w:p w:rsidR="003817BE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RPr="00B23A4F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Decisões 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44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Providências/Responsável</w:t>
            </w:r>
          </w:p>
          <w:p w:rsidR="003817BE" w:rsidRPr="00B23A4F" w:rsidRDefault="003817BE" w:rsidP="003817BE">
            <w:pPr>
              <w:jc w:val="both"/>
              <w:rPr>
                <w:rFonts w:cs="Arial"/>
                <w:b/>
              </w:rPr>
            </w:pPr>
          </w:p>
        </w:tc>
      </w:tr>
      <w:tr w:rsidR="003817BE" w:rsidTr="003817BE">
        <w:trPr>
          <w:trHeight w:val="421"/>
        </w:trPr>
        <w:tc>
          <w:tcPr>
            <w:tcW w:w="255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17BE" w:rsidRDefault="00C27BE4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Encaminhar ofício da Prefeitura de São Gabriel à Secretaria Geral</w:t>
            </w:r>
          </w:p>
        </w:tc>
        <w:tc>
          <w:tcPr>
            <w:tcW w:w="24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817BE" w:rsidRDefault="00C27BE4" w:rsidP="003817B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Sérgio </w:t>
            </w:r>
          </w:p>
        </w:tc>
      </w:tr>
    </w:tbl>
    <w:p w:rsidR="003817BE" w:rsidRDefault="003817BE"/>
    <w:p w:rsidR="003817BE" w:rsidRDefault="003817BE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7C0ACA" w:rsidRDefault="007C0ACA"/>
    <w:p w:rsidR="003817BE" w:rsidRDefault="003817BE"/>
    <w:p w:rsidR="003817BE" w:rsidRDefault="003817BE"/>
    <w:p w:rsidR="003817BE" w:rsidRDefault="003817BE"/>
    <w:tbl>
      <w:tblPr>
        <w:tblStyle w:val="Tabelacomgrade"/>
        <w:tblW w:w="4939" w:type="pct"/>
        <w:tblLook w:val="04A0" w:firstRow="1" w:lastRow="0" w:firstColumn="1" w:lastColumn="0" w:noHBand="0" w:noVBand="1"/>
      </w:tblPr>
      <w:tblGrid>
        <w:gridCol w:w="2679"/>
        <w:gridCol w:w="1541"/>
        <w:gridCol w:w="3441"/>
      </w:tblGrid>
      <w:tr w:rsidR="003817BE" w:rsidRPr="00B23A4F" w:rsidTr="007A419E"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3817BE" w:rsidRPr="00B23A4F" w:rsidRDefault="003817BE" w:rsidP="003817BE">
            <w:pPr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lastRenderedPageBreak/>
              <w:t>LISTA DE PRESENÇAS</w:t>
            </w:r>
          </w:p>
        </w:tc>
      </w:tr>
      <w:tr w:rsidR="003817BE" w:rsidRPr="00B23A4F" w:rsidTr="007C0ACA">
        <w:tc>
          <w:tcPr>
            <w:tcW w:w="2754" w:type="pct"/>
            <w:gridSpan w:val="2"/>
            <w:shd w:val="clear" w:color="auto" w:fill="FFFFFF" w:themeFill="background1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lastRenderedPageBreak/>
              <w:t>COMISSÃO: EXERCÍCIO PROFISSIONAL</w:t>
            </w:r>
          </w:p>
        </w:tc>
        <w:tc>
          <w:tcPr>
            <w:tcW w:w="2246" w:type="pct"/>
            <w:shd w:val="clear" w:color="auto" w:fill="FFFFFF" w:themeFill="background1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proofErr w:type="gramStart"/>
            <w:r w:rsidRPr="00B23A4F">
              <w:rPr>
                <w:rFonts w:cs="Arial"/>
              </w:rPr>
              <w:t>DATA:</w:t>
            </w:r>
            <w:proofErr w:type="gramEnd"/>
            <w:r w:rsidRPr="00B23A4F">
              <w:rPr>
                <w:rFonts w:cs="Arial"/>
                <w:b/>
              </w:rPr>
              <w:t>21/02/2013</w:t>
            </w:r>
          </w:p>
        </w:tc>
      </w:tr>
      <w:tr w:rsidR="003817BE" w:rsidRPr="00B23A4F" w:rsidTr="007C0ACA">
        <w:tc>
          <w:tcPr>
            <w:tcW w:w="1748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PARTICIPANTES:</w:t>
            </w:r>
          </w:p>
        </w:tc>
        <w:tc>
          <w:tcPr>
            <w:tcW w:w="1006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CARGO</w:t>
            </w:r>
          </w:p>
        </w:tc>
        <w:tc>
          <w:tcPr>
            <w:tcW w:w="2246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ASSINATURA</w:t>
            </w: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Roberto </w:t>
            </w:r>
            <w:proofErr w:type="spellStart"/>
            <w:r w:rsidRPr="00B23A4F">
              <w:rPr>
                <w:rFonts w:cs="Arial"/>
                <w:b/>
              </w:rPr>
              <w:t>Py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Presidente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Carlos Eduardo </w:t>
            </w:r>
            <w:proofErr w:type="spellStart"/>
            <w:r w:rsidRPr="00B23A4F">
              <w:rPr>
                <w:rFonts w:cs="Arial"/>
                <w:b/>
              </w:rPr>
              <w:t>Pedone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 xml:space="preserve">Coordenador </w:t>
            </w:r>
          </w:p>
        </w:tc>
        <w:tc>
          <w:tcPr>
            <w:tcW w:w="2246" w:type="pct"/>
          </w:tcPr>
          <w:p w:rsidR="003817BE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Rosana </w:t>
            </w:r>
            <w:proofErr w:type="spellStart"/>
            <w:r w:rsidRPr="00B23A4F">
              <w:rPr>
                <w:rFonts w:cs="Arial"/>
                <w:b/>
              </w:rPr>
              <w:t>Oppitz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Conselheir</w:t>
            </w:r>
            <w:r>
              <w:rPr>
                <w:rFonts w:cs="Arial"/>
              </w:rPr>
              <w:t>a</w:t>
            </w:r>
          </w:p>
        </w:tc>
        <w:tc>
          <w:tcPr>
            <w:tcW w:w="2246" w:type="pct"/>
          </w:tcPr>
          <w:p w:rsidR="003817BE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4A6E11" w:rsidRPr="00B23A4F" w:rsidTr="007C0ACA">
        <w:tc>
          <w:tcPr>
            <w:tcW w:w="1748" w:type="pct"/>
          </w:tcPr>
          <w:p w:rsidR="004A6E11" w:rsidRDefault="004A6E11" w:rsidP="007A419E">
            <w:pPr>
              <w:rPr>
                <w:rFonts w:cs="Arial"/>
                <w:b/>
              </w:rPr>
            </w:pPr>
          </w:p>
          <w:p w:rsidR="004A6E11" w:rsidRDefault="004A6E11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Maria Bernadete </w:t>
            </w:r>
            <w:proofErr w:type="spellStart"/>
            <w:r>
              <w:rPr>
                <w:rFonts w:cs="Arial"/>
                <w:b/>
              </w:rPr>
              <w:t>Sinhorelli</w:t>
            </w:r>
            <w:proofErr w:type="spellEnd"/>
            <w:r>
              <w:rPr>
                <w:rFonts w:cs="Arial"/>
                <w:b/>
              </w:rPr>
              <w:t xml:space="preserve"> de Oliveira</w:t>
            </w:r>
          </w:p>
          <w:p w:rsidR="004A6E11" w:rsidRPr="00B23A4F" w:rsidRDefault="004A6E11" w:rsidP="007A419E">
            <w:pPr>
              <w:rPr>
                <w:rFonts w:cs="Arial"/>
                <w:b/>
              </w:rPr>
            </w:pPr>
          </w:p>
        </w:tc>
        <w:tc>
          <w:tcPr>
            <w:tcW w:w="1006" w:type="pct"/>
          </w:tcPr>
          <w:p w:rsidR="004A6E11" w:rsidRPr="00B23A4F" w:rsidRDefault="004A6E11" w:rsidP="007A419E">
            <w:pPr>
              <w:rPr>
                <w:rFonts w:cs="Arial"/>
              </w:rPr>
            </w:pPr>
          </w:p>
        </w:tc>
        <w:tc>
          <w:tcPr>
            <w:tcW w:w="2246" w:type="pct"/>
          </w:tcPr>
          <w:p w:rsidR="004A6E11" w:rsidRDefault="004A6E11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proofErr w:type="spellStart"/>
            <w:r w:rsidRPr="00B23A4F">
              <w:rPr>
                <w:rFonts w:cs="Arial"/>
                <w:b/>
              </w:rPr>
              <w:t>Maríndia</w:t>
            </w:r>
            <w:proofErr w:type="spellEnd"/>
            <w:r>
              <w:rPr>
                <w:rFonts w:cs="Arial"/>
                <w:b/>
              </w:rPr>
              <w:t xml:space="preserve"> Izabel </w:t>
            </w:r>
            <w:proofErr w:type="spellStart"/>
            <w:r w:rsidRPr="00B23A4F">
              <w:rPr>
                <w:rFonts w:cs="Arial"/>
                <w:b/>
              </w:rPr>
              <w:t>Girardello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Assessor</w:t>
            </w:r>
            <w:r>
              <w:rPr>
                <w:rFonts w:cs="Arial"/>
              </w:rPr>
              <w:t xml:space="preserve"> Tec.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005CAD" w:rsidRPr="00B23A4F" w:rsidTr="007C0ACA">
        <w:tc>
          <w:tcPr>
            <w:tcW w:w="1748" w:type="pct"/>
          </w:tcPr>
          <w:p w:rsidR="00005CAD" w:rsidRPr="00B23A4F" w:rsidRDefault="00005CAD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Suzana Rosa </w:t>
            </w:r>
          </w:p>
        </w:tc>
        <w:tc>
          <w:tcPr>
            <w:tcW w:w="1006" w:type="pct"/>
          </w:tcPr>
          <w:p w:rsidR="00005CAD" w:rsidRPr="00B23A4F" w:rsidRDefault="00005CAD" w:rsidP="007A419E">
            <w:pPr>
              <w:rPr>
                <w:rFonts w:cs="Arial"/>
              </w:rPr>
            </w:pPr>
            <w:r>
              <w:rPr>
                <w:rFonts w:cs="Arial"/>
              </w:rPr>
              <w:t xml:space="preserve">Assessor Tec. </w:t>
            </w:r>
          </w:p>
        </w:tc>
        <w:tc>
          <w:tcPr>
            <w:tcW w:w="2246" w:type="pct"/>
          </w:tcPr>
          <w:p w:rsidR="00005CAD" w:rsidRDefault="00005CAD" w:rsidP="007A419E">
            <w:pPr>
              <w:jc w:val="center"/>
              <w:rPr>
                <w:rFonts w:cs="Arial"/>
                <w:b/>
              </w:rPr>
            </w:pPr>
          </w:p>
          <w:p w:rsidR="00005CAD" w:rsidRPr="00B23A4F" w:rsidRDefault="00005CAD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Alessandra </w:t>
            </w:r>
            <w:proofErr w:type="spellStart"/>
            <w:r w:rsidRPr="00B23A4F">
              <w:rPr>
                <w:rFonts w:cs="Arial"/>
                <w:b/>
              </w:rPr>
              <w:t>Scalcon</w:t>
            </w:r>
            <w:proofErr w:type="spellEnd"/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Ass.</w:t>
            </w:r>
            <w:r>
              <w:rPr>
                <w:rFonts w:cs="Arial"/>
              </w:rPr>
              <w:t xml:space="preserve"> Adm. 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rPr>
          <w:trHeight w:val="227"/>
        </w:trPr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 xml:space="preserve">Sérgio R.M. Gré Jr. </w:t>
            </w:r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 w:rsidRPr="00B23A4F">
              <w:rPr>
                <w:rFonts w:cs="Arial"/>
              </w:rPr>
              <w:t>Secretário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rPr>
          <w:trHeight w:val="227"/>
        </w:trPr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Aline Silva</w:t>
            </w:r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rPr>
          <w:trHeight w:val="227"/>
        </w:trPr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Rogério Pinto Dias de Oliveira </w:t>
            </w:r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  <w:r w:rsidRPr="00B23A4F">
              <w:rPr>
                <w:rFonts w:cs="Arial"/>
                <w:b/>
              </w:rPr>
              <w:t>DEMAIS PARTICIPANTES:</w:t>
            </w:r>
          </w:p>
        </w:tc>
        <w:tc>
          <w:tcPr>
            <w:tcW w:w="1006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</w:rPr>
            </w:pPr>
          </w:p>
        </w:tc>
        <w:tc>
          <w:tcPr>
            <w:tcW w:w="2246" w:type="pct"/>
            <w:shd w:val="clear" w:color="auto" w:fill="D9D9D9" w:themeFill="background1" w:themeFillShade="D9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</w:p>
        </w:tc>
      </w:tr>
      <w:tr w:rsidR="003817BE" w:rsidRPr="00B23A4F" w:rsidTr="007C0ACA">
        <w:tc>
          <w:tcPr>
            <w:tcW w:w="1748" w:type="pct"/>
          </w:tcPr>
          <w:p w:rsidR="003817BE" w:rsidRPr="00B23A4F" w:rsidRDefault="003817BE" w:rsidP="007A419E">
            <w:pPr>
              <w:rPr>
                <w:rFonts w:cs="Arial"/>
                <w:b/>
              </w:rPr>
            </w:pPr>
          </w:p>
        </w:tc>
        <w:tc>
          <w:tcPr>
            <w:tcW w:w="1006" w:type="pct"/>
          </w:tcPr>
          <w:p w:rsidR="003817BE" w:rsidRPr="00B23A4F" w:rsidRDefault="003817BE" w:rsidP="007A419E">
            <w:pPr>
              <w:rPr>
                <w:rFonts w:cs="Arial"/>
              </w:rPr>
            </w:pPr>
          </w:p>
        </w:tc>
        <w:tc>
          <w:tcPr>
            <w:tcW w:w="2246" w:type="pct"/>
          </w:tcPr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  <w:p w:rsidR="003817BE" w:rsidRPr="00B23A4F" w:rsidRDefault="003817BE" w:rsidP="007A419E">
            <w:pPr>
              <w:jc w:val="center"/>
              <w:rPr>
                <w:rFonts w:cs="Arial"/>
                <w:b/>
              </w:rPr>
            </w:pPr>
          </w:p>
        </w:tc>
      </w:tr>
      <w:tr w:rsidR="007C0ACA" w:rsidRPr="00B23A4F" w:rsidTr="007C0ACA">
        <w:tc>
          <w:tcPr>
            <w:tcW w:w="1748" w:type="pct"/>
          </w:tcPr>
          <w:p w:rsidR="007C0ACA" w:rsidRDefault="007C0ACA" w:rsidP="00005CAD">
            <w:pPr>
              <w:rPr>
                <w:rFonts w:cs="Arial"/>
                <w:b/>
              </w:rPr>
            </w:pPr>
          </w:p>
        </w:tc>
        <w:tc>
          <w:tcPr>
            <w:tcW w:w="1006" w:type="pct"/>
          </w:tcPr>
          <w:p w:rsidR="007C0ACA" w:rsidRDefault="007C0ACA" w:rsidP="007A419E">
            <w:pPr>
              <w:rPr>
                <w:rFonts w:cs="Arial"/>
              </w:rPr>
            </w:pPr>
          </w:p>
          <w:p w:rsidR="00005CAD" w:rsidRDefault="00005CAD" w:rsidP="007A419E">
            <w:pPr>
              <w:rPr>
                <w:rFonts w:cs="Arial"/>
              </w:rPr>
            </w:pPr>
          </w:p>
        </w:tc>
        <w:tc>
          <w:tcPr>
            <w:tcW w:w="2246" w:type="pct"/>
          </w:tcPr>
          <w:p w:rsidR="007C0ACA" w:rsidRPr="00B23A4F" w:rsidRDefault="007C0ACA" w:rsidP="007A419E">
            <w:pPr>
              <w:jc w:val="center"/>
              <w:rPr>
                <w:rFonts w:cs="Arial"/>
                <w:b/>
              </w:rPr>
            </w:pPr>
          </w:p>
        </w:tc>
      </w:tr>
    </w:tbl>
    <w:p w:rsidR="003817BE" w:rsidRDefault="003817BE"/>
    <w:p w:rsidR="003817BE" w:rsidRDefault="003817BE"/>
    <w:sectPr w:rsidR="003817BE" w:rsidSect="003817BE">
      <w:pgSz w:w="11906" w:h="16838"/>
      <w:pgMar w:top="1418" w:right="1701" w:bottom="1418" w:left="1701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B40" w:rsidRDefault="008A0B40" w:rsidP="007D1E03">
      <w:pPr>
        <w:spacing w:after="0" w:line="240" w:lineRule="auto"/>
      </w:pPr>
      <w:r>
        <w:separator/>
      </w:r>
    </w:p>
  </w:endnote>
  <w:endnote w:type="continuationSeparator" w:id="0">
    <w:p w:rsidR="008A0B40" w:rsidRDefault="008A0B40" w:rsidP="007D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B40" w:rsidRDefault="008A0B40" w:rsidP="007D1E03">
      <w:pPr>
        <w:spacing w:after="0" w:line="240" w:lineRule="auto"/>
      </w:pPr>
      <w:r>
        <w:separator/>
      </w:r>
    </w:p>
  </w:footnote>
  <w:footnote w:type="continuationSeparator" w:id="0">
    <w:p w:rsidR="008A0B40" w:rsidRDefault="008A0B40" w:rsidP="007D1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5CAD"/>
    <w:rsid w:val="00082133"/>
    <w:rsid w:val="000D661B"/>
    <w:rsid w:val="0020653F"/>
    <w:rsid w:val="002135AB"/>
    <w:rsid w:val="002B1363"/>
    <w:rsid w:val="002C5B76"/>
    <w:rsid w:val="003817BE"/>
    <w:rsid w:val="003E5A59"/>
    <w:rsid w:val="004119B6"/>
    <w:rsid w:val="004A6E11"/>
    <w:rsid w:val="004B0979"/>
    <w:rsid w:val="004B6D61"/>
    <w:rsid w:val="004E5409"/>
    <w:rsid w:val="00522D02"/>
    <w:rsid w:val="0054243C"/>
    <w:rsid w:val="00546717"/>
    <w:rsid w:val="00591552"/>
    <w:rsid w:val="005C6AF6"/>
    <w:rsid w:val="005D771C"/>
    <w:rsid w:val="005E10AF"/>
    <w:rsid w:val="0060694C"/>
    <w:rsid w:val="006206A0"/>
    <w:rsid w:val="00653E57"/>
    <w:rsid w:val="006753CD"/>
    <w:rsid w:val="006B216B"/>
    <w:rsid w:val="006B4187"/>
    <w:rsid w:val="00706A56"/>
    <w:rsid w:val="00710FAF"/>
    <w:rsid w:val="007274E1"/>
    <w:rsid w:val="0075091D"/>
    <w:rsid w:val="0077773B"/>
    <w:rsid w:val="007B5E8D"/>
    <w:rsid w:val="007C0ACA"/>
    <w:rsid w:val="007D1E03"/>
    <w:rsid w:val="0086586A"/>
    <w:rsid w:val="008A0B40"/>
    <w:rsid w:val="008B5632"/>
    <w:rsid w:val="008E4B3F"/>
    <w:rsid w:val="008E51A9"/>
    <w:rsid w:val="00953123"/>
    <w:rsid w:val="009674AC"/>
    <w:rsid w:val="009A6088"/>
    <w:rsid w:val="009C16D1"/>
    <w:rsid w:val="009D14E3"/>
    <w:rsid w:val="00A1285E"/>
    <w:rsid w:val="00A257EC"/>
    <w:rsid w:val="00AC29BA"/>
    <w:rsid w:val="00B1569A"/>
    <w:rsid w:val="00B43E45"/>
    <w:rsid w:val="00B638F7"/>
    <w:rsid w:val="00BA139B"/>
    <w:rsid w:val="00BC6AD6"/>
    <w:rsid w:val="00C27BE4"/>
    <w:rsid w:val="00C714F8"/>
    <w:rsid w:val="00CB7E9F"/>
    <w:rsid w:val="00CF0AE5"/>
    <w:rsid w:val="00D32F18"/>
    <w:rsid w:val="00D527D8"/>
    <w:rsid w:val="00D64D69"/>
    <w:rsid w:val="00DA1AEB"/>
    <w:rsid w:val="00DB2BA8"/>
    <w:rsid w:val="00DD1C70"/>
    <w:rsid w:val="00DD278A"/>
    <w:rsid w:val="00E11E2F"/>
    <w:rsid w:val="00E44632"/>
    <w:rsid w:val="00E74794"/>
    <w:rsid w:val="00ED3EDD"/>
    <w:rsid w:val="00F52C36"/>
    <w:rsid w:val="00F61506"/>
    <w:rsid w:val="00F6371A"/>
    <w:rsid w:val="00F854A1"/>
    <w:rsid w:val="00FB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D1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0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1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03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D1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0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1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03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1CA0E-BB8F-44AC-BDD4-816DA2DB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1257</Words>
  <Characters>6792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2013-04-22T19:41:00Z</dcterms:created>
  <dcterms:modified xsi:type="dcterms:W3CDTF">2013-04-23T13:51:00Z</dcterms:modified>
</cp:coreProperties>
</file>