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6B532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6B532F">
              <w:rPr>
                <w:rFonts w:asciiTheme="majorHAnsi" w:hAnsiTheme="majorHAnsi" w:cs="Times New Roman"/>
                <w:b/>
              </w:rPr>
              <w:t>8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C32662">
              <w:rPr>
                <w:rFonts w:asciiTheme="majorHAnsi" w:hAnsiTheme="majorHAnsi" w:cs="Arial"/>
              </w:rPr>
              <w:t>06/08</w:t>
            </w:r>
            <w:r w:rsidR="00AB187C">
              <w:rPr>
                <w:rFonts w:asciiTheme="majorHAnsi" w:hAnsiTheme="majorHAnsi" w:cs="Arial"/>
              </w:rPr>
              <w:t>/2015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274A5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as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onselheiras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Barakat</w:t>
            </w:r>
            <w:proofErr w:type="spellEnd"/>
            <w:r w:rsidR="00A23E28" w:rsidRPr="008612E2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e Rosana Oppitz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="009A1090" w:rsidRPr="008612E2">
              <w:rPr>
                <w:rFonts w:asciiTheme="majorHAnsi" w:hAnsiTheme="majorHAnsi" w:cs="Times New Roman"/>
              </w:rPr>
              <w:t xml:space="preserve"> Conselheiros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 Adriano Adams de Campos e 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 w:rsidR="00AB187C">
              <w:rPr>
                <w:rFonts w:asciiTheme="majorHAnsi" w:hAnsiTheme="majorHAnsi" w:cs="Times New Roman"/>
              </w:rPr>
              <w:t>Girardello</w:t>
            </w:r>
            <w:proofErr w:type="spellEnd"/>
            <w:r w:rsidR="00AB187C">
              <w:rPr>
                <w:rFonts w:asciiTheme="majorHAnsi" w:hAnsiTheme="majorHAnsi" w:cs="Times New Roman"/>
              </w:rPr>
              <w:t>, a S</w:t>
            </w:r>
            <w:r w:rsidR="00C112B6">
              <w:rPr>
                <w:rFonts w:asciiTheme="majorHAnsi" w:hAnsiTheme="majorHAnsi" w:cs="Times New Roman"/>
              </w:rPr>
              <w:t xml:space="preserve">ecretária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C112B6">
              <w:rPr>
                <w:rFonts w:asciiTheme="majorHAnsi" w:hAnsiTheme="majorHAnsi" w:cs="Times New Roman"/>
              </w:rPr>
              <w:t>xecutiva Carla Regina Dal Lago Val</w:t>
            </w:r>
            <w:r w:rsidR="001A734C">
              <w:rPr>
                <w:rFonts w:asciiTheme="majorHAnsi" w:hAnsiTheme="majorHAnsi" w:cs="Times New Roman"/>
              </w:rPr>
              <w:t>ério</w:t>
            </w:r>
            <w:r w:rsidR="00C112B6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>e o</w:t>
            </w:r>
            <w:r w:rsidR="00274A55">
              <w:rPr>
                <w:rFonts w:asciiTheme="majorHAnsi" w:hAnsiTheme="majorHAnsi" w:cs="Times New Roman"/>
              </w:rPr>
              <w:t>s</w:t>
            </w:r>
            <w:r w:rsidR="008612E2">
              <w:rPr>
                <w:rFonts w:asciiTheme="majorHAnsi" w:hAnsiTheme="majorHAnsi" w:cs="Times New Roman"/>
              </w:rPr>
              <w:t xml:space="preserve"> Assessor</w:t>
            </w:r>
            <w:r w:rsidR="00274A55">
              <w:rPr>
                <w:rFonts w:asciiTheme="majorHAnsi" w:hAnsiTheme="majorHAnsi" w:cs="Times New Roman"/>
              </w:rPr>
              <w:t xml:space="preserve">es </w:t>
            </w:r>
            <w:r w:rsidR="008612E2">
              <w:rPr>
                <w:rFonts w:asciiTheme="majorHAnsi" w:hAnsiTheme="majorHAnsi" w:cs="Times New Roman"/>
              </w:rPr>
              <w:t>Jurídico</w:t>
            </w:r>
            <w:r w:rsidR="00274A55">
              <w:rPr>
                <w:rFonts w:asciiTheme="majorHAnsi" w:hAnsiTheme="majorHAnsi" w:cs="Times New Roman"/>
              </w:rPr>
              <w:t>s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C22628">
              <w:rPr>
                <w:rFonts w:asciiTheme="majorHAnsi" w:hAnsiTheme="majorHAnsi" w:cs="Times New Roman"/>
              </w:rPr>
              <w:t>Alexandre Noal dos Santos</w:t>
            </w:r>
            <w:r w:rsidR="00274A55">
              <w:rPr>
                <w:rFonts w:asciiTheme="majorHAnsi" w:hAnsiTheme="majorHAnsi" w:cs="Times New Roman"/>
              </w:rPr>
              <w:t xml:space="preserve"> e Mauro Maciel</w:t>
            </w:r>
            <w:r w:rsidR="00C22628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6B532F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="006B532F">
              <w:rPr>
                <w:rFonts w:asciiTheme="majorHAnsi" w:hAnsiTheme="majorHAnsi" w:cs="Times New Roman"/>
                <w:b/>
              </w:rPr>
              <w:t>7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C32662" w:rsidP="00274A5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</w:t>
            </w:r>
            <w:r w:rsidR="00274A55">
              <w:rPr>
                <w:rFonts w:asciiTheme="majorHAnsi" w:eastAsia="Times New Roman" w:hAnsiTheme="majorHAnsi" w:cs="Times New Roman"/>
                <w:color w:val="000000"/>
              </w:rPr>
              <w:t xml:space="preserve"> e assinada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pelos 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06A9C" w:rsidRDefault="00606A9C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606A9C">
              <w:rPr>
                <w:rFonts w:asciiTheme="majorHAnsi" w:hAnsiTheme="majorHAnsi" w:cs="Times New Roman"/>
                <w:b/>
              </w:rPr>
              <w:t xml:space="preserve">2. </w:t>
            </w:r>
            <w:r w:rsidR="006B532F" w:rsidRPr="006B532F">
              <w:rPr>
                <w:rFonts w:asciiTheme="majorHAnsi" w:hAnsiTheme="majorHAnsi"/>
                <w:b/>
                <w:color w:val="000000"/>
              </w:rPr>
              <w:t>Deliberação acerca da autuação de editais com obras regionais (RS), cujas empresas licitantes possuem sede em outra Unidade Federativa</w:t>
            </w:r>
            <w:r w:rsidR="006B532F">
              <w:rPr>
                <w:rFonts w:asciiTheme="majorHAnsi" w:hAnsiTheme="majorHAnsi"/>
                <w:b/>
                <w:color w:val="000000"/>
              </w:rPr>
              <w:t>: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27987" w:rsidRPr="00AB187C" w:rsidRDefault="00527987" w:rsidP="00274A55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assessor jurídico Alexandre Noal esclarece que assunto foi encaminhado pela assessoria jurídica ao CAU/BR. Nesse sentido, solicita à Comissão que aguarde retorno do Conselho Federal.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6B532F" w:rsidRDefault="006B532F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6B532F">
              <w:rPr>
                <w:rFonts w:asciiTheme="majorHAnsi" w:hAnsiTheme="majorHAnsi" w:cs="Times New Roman"/>
                <w:b/>
              </w:rPr>
              <w:t xml:space="preserve">3. </w:t>
            </w:r>
            <w:r w:rsidRPr="006B532F">
              <w:rPr>
                <w:rFonts w:asciiTheme="majorHAnsi" w:hAnsiTheme="majorHAnsi"/>
                <w:b/>
                <w:color w:val="000000"/>
              </w:rPr>
              <w:t>Retorno sobre ofício enviado à FAURGS: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27987" w:rsidRDefault="00527987" w:rsidP="004B0E9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assessor jurídico Alexandre Noal informa que a assessoria </w:t>
            </w:r>
            <w:r w:rsidR="004B0E9A">
              <w:rPr>
                <w:rFonts w:asciiTheme="majorHAnsi" w:hAnsiTheme="majorHAnsi" w:cs="Times New Roman"/>
              </w:rPr>
              <w:t>jurídica do CAU/RS entende que não há como ingressar com ação judicial no que tange às redes de abastecimento de pequeno porte, uma vez que a FAURGS, utilizando-se do seu poder discricionário, entendeu por mais adequado, no processo seletivo, a seleção de engenheiro civil, com base na Resolução CONFEA nº 218.</w:t>
            </w:r>
            <w:r w:rsidR="009C00F9">
              <w:rPr>
                <w:rFonts w:asciiTheme="majorHAnsi" w:hAnsiTheme="majorHAnsi" w:cs="Times New Roman"/>
              </w:rPr>
              <w:t xml:space="preserve"> A Comissão então questiona uma revisão sobre as atividades do arquiteto e urbanista quanto à rede de abastecimento de pequeno porte. O assunto deverá ser tratado oportunamente.</w:t>
            </w:r>
          </w:p>
          <w:p w:rsidR="004B0E9A" w:rsidRDefault="004B0E9A" w:rsidP="004B0E9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Entretanto, quanto à negativa de participação de arquitetos e urbanistas para a elaboração de projetos de PPCI, cabe ingresso com ação judicial, uma vez que as atribuições previstas no edital são também correlatas à arquitetura e urbanismo, de acordo com a Lei Complementar do RS nº 14.376/2013.</w:t>
            </w:r>
          </w:p>
          <w:p w:rsidR="004B0E9A" w:rsidRPr="00C47A03" w:rsidRDefault="004B0E9A" w:rsidP="004B0E9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Quanto ao salário mínimo profissional, no ingresso da referida ação a assessoria jurídica também buscará o cumprimento da Lei Federal nº 4.950-A/2015, que equipara as remunerações de engenheiros civis e arquitetos e urbanistas.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1D70FC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1D70FC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Revisão do tema de rede de abastecimento de pequeno porte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1D70FC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Assessoria jurídica.</w:t>
            </w:r>
          </w:p>
        </w:tc>
      </w:tr>
      <w:tr w:rsidR="00BB3B96" w:rsidRPr="00AB187C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B187C" w:rsidRDefault="006B532F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4. </w:t>
            </w:r>
            <w:r w:rsidRPr="006B532F">
              <w:rPr>
                <w:rFonts w:asciiTheme="majorHAnsi" w:hAnsiTheme="majorHAnsi"/>
                <w:b/>
                <w:color w:val="000000"/>
              </w:rPr>
              <w:t>Realização do Seminário da CEP-CAU/RS: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473" w:rsidRPr="001B1B96" w:rsidRDefault="006C6086" w:rsidP="0096064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Cons. Silvia </w:t>
            </w:r>
            <w:proofErr w:type="spellStart"/>
            <w:r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solicita que o assunto seja pautado na próxima reunião.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274A55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Silvia </w:t>
            </w:r>
            <w:proofErr w:type="spellStart"/>
            <w:r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274A55" w:rsidP="00274A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274A55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13D69" w:rsidRPr="00AB187C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6B532F" w:rsidP="005E504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5. Análise de processos:</w:t>
            </w:r>
          </w:p>
        </w:tc>
      </w:tr>
      <w:tr w:rsidR="00313D69" w:rsidRPr="001B1B96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946738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6B532F" w:rsidRPr="00946738" w:rsidRDefault="009A15E1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4985/2015 – Mitra: remeta-se à assessoria jurídica ara redação de orientação e posterior encaminhamento à Presidência.</w:t>
            </w:r>
          </w:p>
          <w:p w:rsidR="006B532F" w:rsidRDefault="004B0E9A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B0E9A">
              <w:rPr>
                <w:rFonts w:asciiTheme="majorHAnsi" w:eastAsia="Times New Roman" w:hAnsiTheme="majorHAnsi"/>
                <w:color w:val="000000"/>
              </w:rPr>
              <w:t>Denúncia nº 5986 – FAURGS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– Apresentada orientação jurídica à Comissão, e proposta ação judicial no que se refere ao edital do processo seletivo 008/2015, nos itens PPCI e cumprimento do salário mínimo profissional.</w:t>
            </w:r>
          </w:p>
          <w:p w:rsidR="006B532F" w:rsidRPr="00EE2035" w:rsidRDefault="00375E81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4298 – Neiva: encaminha-se à assessoria jurídica para fundamentação de arquivamento.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Denúncia nº </w:t>
            </w:r>
            <w:r w:rsidR="00375E81">
              <w:rPr>
                <w:rFonts w:asciiTheme="majorHAnsi" w:eastAsia="Times New Roman" w:hAnsiTheme="majorHAnsi"/>
                <w:color w:val="000000"/>
              </w:rPr>
              <w:t>5320/2015 – Ideias e Soluções: ao jurídico para providências de encaminhamento à Presidência.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6308/2015 – José Vilmar Pereira de Fraga</w:t>
            </w:r>
            <w:r w:rsidR="009A15E1">
              <w:rPr>
                <w:rFonts w:asciiTheme="majorHAnsi" w:eastAsia="Times New Roman" w:hAnsiTheme="majorHAnsi"/>
                <w:color w:val="000000"/>
              </w:rPr>
              <w:t>: encaminha-se à assessoria jurídica para providências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5103/2</w:t>
            </w:r>
            <w:r w:rsidR="009A15E1">
              <w:rPr>
                <w:rFonts w:asciiTheme="majorHAnsi" w:eastAsia="Times New Roman" w:hAnsiTheme="majorHAnsi"/>
                <w:color w:val="000000"/>
              </w:rPr>
              <w:t>015 – Alessandro da Rosa Correa: remeta-se à assessoria jurídica para produção de súmula de arquivamento.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946738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 xml:space="preserve">Processo administrativo nº </w:t>
            </w:r>
            <w:r w:rsidR="0034401C">
              <w:rPr>
                <w:rFonts w:asciiTheme="majorHAnsi" w:eastAsia="Times New Roman" w:hAnsiTheme="majorHAnsi"/>
              </w:rPr>
              <w:t>1000016368/2013 – Eduardo Braga: encaminha-se à Gerência Técnica para providências.</w:t>
            </w:r>
          </w:p>
          <w:p w:rsidR="006B532F" w:rsidRPr="00A221DC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</w:t>
            </w:r>
            <w:r w:rsidR="00375E81">
              <w:rPr>
                <w:rFonts w:asciiTheme="majorHAnsi" w:eastAsia="Times New Roman" w:hAnsiTheme="majorHAnsi"/>
              </w:rPr>
              <w:t>vo nº 1000014002 – Vitor Hugo: remeta-se à Fiscalização para providências.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 xml:space="preserve">Processo administrativo nº </w:t>
            </w:r>
            <w:r>
              <w:rPr>
                <w:rFonts w:asciiTheme="majorHAnsi" w:eastAsia="Times New Roman" w:hAnsiTheme="majorHAnsi"/>
                <w:color w:val="000000"/>
              </w:rPr>
              <w:t>100009919/2014 - Perivaldo Alves Perfeito</w:t>
            </w:r>
            <w:r w:rsidR="009A15E1">
              <w:rPr>
                <w:rFonts w:asciiTheme="majorHAnsi" w:eastAsia="Times New Roman" w:hAnsiTheme="majorHAnsi"/>
                <w:color w:val="000000"/>
              </w:rPr>
              <w:t>: remeta-se à assessoria jurídica para redação de Deliberação.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</w:t>
            </w:r>
            <w:r w:rsidR="00A72EC4">
              <w:rPr>
                <w:rFonts w:asciiTheme="majorHAnsi" w:eastAsia="Times New Roman" w:hAnsiTheme="majorHAnsi"/>
              </w:rPr>
              <w:t>00022056/2015 – Sem interessado: encaminha-se à assessoria jurídica para providências.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1000019314 – Carol Ávila </w:t>
            </w:r>
            <w:proofErr w:type="spellStart"/>
            <w:r>
              <w:rPr>
                <w:rFonts w:asciiTheme="majorHAnsi" w:eastAsia="Times New Roman" w:hAnsiTheme="majorHAnsi"/>
              </w:rPr>
              <w:t>Kunzler</w:t>
            </w:r>
            <w:proofErr w:type="spellEnd"/>
            <w:r w:rsidR="00A72EC4">
              <w:rPr>
                <w:rFonts w:asciiTheme="majorHAnsi" w:eastAsia="Times New Roman" w:hAnsiTheme="majorHAnsi"/>
              </w:rPr>
              <w:t>: remeta-se à assessoria jurídica para providências.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1000022537/2015 – Marcelo Freitas Ferreira</w:t>
            </w:r>
            <w:r w:rsidR="00A72EC4">
              <w:rPr>
                <w:rFonts w:asciiTheme="majorHAnsi" w:eastAsia="Times New Roman" w:hAnsiTheme="majorHAnsi"/>
              </w:rPr>
              <w:t>: encaminha-se à assessoria jurídica para providências.</w:t>
            </w:r>
          </w:p>
          <w:p w:rsidR="006B532F" w:rsidRPr="00A221DC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 100002193</w:t>
            </w:r>
            <w:r w:rsidR="00A72EC4">
              <w:rPr>
                <w:rFonts w:asciiTheme="majorHAnsi" w:eastAsia="Times New Roman" w:hAnsiTheme="majorHAnsi"/>
              </w:rPr>
              <w:t xml:space="preserve">4/2015 – Luiz Antônio </w:t>
            </w:r>
            <w:proofErr w:type="spellStart"/>
            <w:r w:rsidR="00A72EC4">
              <w:rPr>
                <w:rFonts w:asciiTheme="majorHAnsi" w:eastAsia="Times New Roman" w:hAnsiTheme="majorHAnsi"/>
              </w:rPr>
              <w:t>Sentinger</w:t>
            </w:r>
            <w:proofErr w:type="spellEnd"/>
            <w:r w:rsidR="00A72EC4">
              <w:rPr>
                <w:rFonts w:asciiTheme="majorHAnsi" w:eastAsia="Times New Roman" w:hAnsiTheme="majorHAnsi"/>
              </w:rPr>
              <w:t>: encaminha-se par arquivamento.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1000015259/20</w:t>
            </w:r>
            <w:r w:rsidR="00A72EC4">
              <w:rPr>
                <w:rFonts w:asciiTheme="majorHAnsi" w:eastAsia="Times New Roman" w:hAnsiTheme="majorHAnsi"/>
                <w:color w:val="000000"/>
              </w:rPr>
              <w:t>15 – MS Materiais de construção: remetido à Fiscalização para providências.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lastRenderedPageBreak/>
              <w:t>Processo administrativo nº 1000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022271/2015 – Fábio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Korny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 xml:space="preserve"> Nunes: encaminha-se para arquivamento.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</w:t>
            </w:r>
            <w:r>
              <w:rPr>
                <w:rFonts w:asciiTheme="majorHAnsi" w:eastAsia="Times New Roman" w:hAnsiTheme="majorHAnsi"/>
                <w:color w:val="000000"/>
              </w:rPr>
              <w:t>00021601/2015 – sem interessado</w:t>
            </w:r>
            <w:r w:rsidR="00A72EC4">
              <w:rPr>
                <w:rFonts w:asciiTheme="majorHAnsi" w:eastAsia="Times New Roman" w:hAnsiTheme="majorHAnsi"/>
                <w:color w:val="000000"/>
              </w:rPr>
              <w:t>: encaminha-se para arquivamento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6B532F" w:rsidRPr="00946738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 xml:space="preserve">Processo administrativo nº 1000021546 – Karine </w:t>
            </w:r>
            <w:proofErr w:type="spellStart"/>
            <w:r w:rsidRPr="00946738">
              <w:rPr>
                <w:rFonts w:asciiTheme="majorHAnsi" w:eastAsia="Times New Roman" w:hAnsiTheme="majorHAnsi"/>
                <w:color w:val="000000"/>
              </w:rPr>
              <w:t>Capeletti</w:t>
            </w:r>
            <w:proofErr w:type="spellEnd"/>
            <w:r w:rsidRPr="00946738">
              <w:rPr>
                <w:rFonts w:asciiTheme="majorHAnsi" w:eastAsia="Times New Roman" w:hAnsiTheme="majorHAnsi"/>
                <w:color w:val="000000"/>
              </w:rPr>
              <w:t xml:space="preserve"> Queiroz</w:t>
            </w:r>
            <w:r w:rsidR="00A72EC4">
              <w:rPr>
                <w:rFonts w:asciiTheme="majorHAnsi" w:eastAsia="Times New Roman" w:hAnsiTheme="majorHAnsi"/>
                <w:color w:val="000000"/>
              </w:rPr>
              <w:t>: encaminha-se para arquivamento.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100002</w:t>
            </w:r>
            <w:r w:rsidR="003F30E6">
              <w:rPr>
                <w:rFonts w:asciiTheme="majorHAnsi" w:eastAsia="Times New Roman" w:hAnsiTheme="majorHAnsi"/>
                <w:color w:val="000000"/>
              </w:rPr>
              <w:t xml:space="preserve">1816/2015 – Cláudia Ana </w:t>
            </w:r>
            <w:proofErr w:type="spellStart"/>
            <w:r w:rsidR="003F30E6">
              <w:rPr>
                <w:rFonts w:asciiTheme="majorHAnsi" w:eastAsia="Times New Roman" w:hAnsiTheme="majorHAnsi"/>
                <w:color w:val="000000"/>
              </w:rPr>
              <w:t>Fachini</w:t>
            </w:r>
            <w:proofErr w:type="spellEnd"/>
            <w:r w:rsidR="003F30E6">
              <w:rPr>
                <w:rFonts w:asciiTheme="majorHAnsi" w:eastAsia="Times New Roman" w:hAnsiTheme="majorHAnsi"/>
                <w:color w:val="000000"/>
              </w:rPr>
              <w:t>: encaminha-se à assessoria jurídica para providências.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 1000022390/2015 –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ao jurídico para redação de Deliberação.</w:t>
            </w:r>
          </w:p>
          <w:p w:rsidR="00A72EC4" w:rsidRDefault="006B532F" w:rsidP="00A72EC4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 1000020979/2015 -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ao jurídico para redação de Deliberação.</w:t>
            </w:r>
          </w:p>
          <w:p w:rsidR="00A72EC4" w:rsidRDefault="006B532F" w:rsidP="00A72EC4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 1000020977/2015 -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ao jurídico para redação de Deliberação.</w:t>
            </w:r>
          </w:p>
          <w:p w:rsidR="00A72EC4" w:rsidRDefault="006B532F" w:rsidP="00A72EC4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1000020976/2015 -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ao jurídico para redação de Deliberação.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00022195/2015 – Joel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Lorencetti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para arquivamento.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1000015822/2015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Guimape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Construtora e Incorporadora</w:t>
            </w:r>
            <w:r w:rsidR="00A72EC4">
              <w:rPr>
                <w:rFonts w:asciiTheme="majorHAnsi" w:eastAsia="Times New Roman" w:hAnsiTheme="majorHAnsi"/>
                <w:color w:val="000000"/>
              </w:rPr>
              <w:t>: para providências de notificação por edital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1000021039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Clairton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da Silva</w:t>
            </w:r>
            <w:r w:rsidR="00375E81">
              <w:rPr>
                <w:rFonts w:asciiTheme="majorHAnsi" w:eastAsia="Times New Roman" w:hAnsiTheme="majorHAnsi"/>
                <w:color w:val="000000"/>
              </w:rPr>
              <w:t>: encaminha-se à Comissão de Ensino e Formação para providências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1000</w:t>
            </w:r>
            <w:r w:rsidR="00A72EC4">
              <w:rPr>
                <w:rFonts w:asciiTheme="majorHAnsi" w:eastAsia="Times New Roman" w:hAnsiTheme="majorHAnsi"/>
                <w:color w:val="000000"/>
              </w:rPr>
              <w:t>021727 – Antônio Carlos Pimenta: encaminha-se ao jurídico para fundamentação.</w:t>
            </w:r>
          </w:p>
          <w:p w:rsidR="006B532F" w:rsidRDefault="006B532F" w:rsidP="006B532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1000022391/2015 – Pedro Gabriel &amp;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Bonini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Arquitetura PGBA</w:t>
            </w:r>
            <w:r w:rsidR="00A72EC4">
              <w:rPr>
                <w:rFonts w:asciiTheme="majorHAnsi" w:eastAsia="Times New Roman" w:hAnsiTheme="majorHAnsi"/>
                <w:color w:val="000000"/>
              </w:rPr>
              <w:t>: encaminha-se para arquivamento.</w:t>
            </w:r>
          </w:p>
          <w:p w:rsidR="007F2187" w:rsidRPr="001B1B96" w:rsidRDefault="006B532F" w:rsidP="00375E81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</w:t>
            </w:r>
            <w:r w:rsidR="00A72EC4">
              <w:rPr>
                <w:rFonts w:asciiTheme="majorHAnsi" w:eastAsia="Times New Roman" w:hAnsiTheme="majorHAnsi"/>
                <w:color w:val="000000"/>
              </w:rPr>
              <w:t xml:space="preserve"> 1000021644/2015 – </w:t>
            </w:r>
            <w:proofErr w:type="spellStart"/>
            <w:r w:rsidR="00A72EC4">
              <w:rPr>
                <w:rFonts w:asciiTheme="majorHAnsi" w:eastAsia="Times New Roman" w:hAnsiTheme="majorHAnsi"/>
                <w:color w:val="000000"/>
              </w:rPr>
              <w:t>Arquicasa</w:t>
            </w:r>
            <w:proofErr w:type="spellEnd"/>
            <w:r w:rsidR="00A72EC4">
              <w:rPr>
                <w:rFonts w:asciiTheme="majorHAnsi" w:eastAsia="Times New Roman" w:hAnsiTheme="majorHAnsi"/>
                <w:color w:val="000000"/>
              </w:rPr>
              <w:t>: encaminha-se para arquivamento.</w:t>
            </w:r>
          </w:p>
        </w:tc>
      </w:tr>
      <w:tr w:rsidR="00313D69" w:rsidRPr="002A2A40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313D6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313D69" w:rsidP="005E504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313D69" w:rsidP="005E504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313D69" w:rsidP="005E504B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313D69" w:rsidRPr="00AB187C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6B532F" w:rsidP="005E504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6. Assuntos Gerais:</w:t>
            </w:r>
          </w:p>
        </w:tc>
      </w:tr>
      <w:tr w:rsidR="00313D69" w:rsidRPr="001B1B96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B532F" w:rsidRDefault="006B532F" w:rsidP="00AE4CB5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>
              <w:rPr>
                <w:rFonts w:asciiTheme="majorHAnsi" w:hAnsiTheme="majorHAnsi"/>
                <w:b/>
                <w:color w:val="000000"/>
              </w:rPr>
              <w:t>6.1 E-mail</w:t>
            </w:r>
            <w:proofErr w:type="gramEnd"/>
            <w:r>
              <w:rPr>
                <w:rFonts w:asciiTheme="majorHAnsi" w:hAnsiTheme="maj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</w:rPr>
              <w:t>Gravina</w:t>
            </w:r>
            <w:proofErr w:type="spellEnd"/>
            <w:r>
              <w:rPr>
                <w:rFonts w:asciiTheme="majorHAnsi" w:hAnsiTheme="majorHAnsi"/>
                <w:b/>
                <w:color w:val="000000"/>
              </w:rPr>
              <w:t xml:space="preserve"> Advogados:</w:t>
            </w:r>
          </w:p>
          <w:p w:rsidR="00AE4CB5" w:rsidRDefault="00AE4CB5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Coordenador Carlos Pedone faz a leitura do e-mail enviado pelo adv</w:t>
            </w:r>
            <w:r w:rsidR="00D81E20">
              <w:rPr>
                <w:rFonts w:asciiTheme="majorHAnsi" w:hAnsiTheme="majorHAnsi"/>
                <w:color w:val="000000"/>
              </w:rPr>
              <w:t xml:space="preserve">ogado Marcus </w:t>
            </w:r>
            <w:proofErr w:type="spellStart"/>
            <w:r w:rsidR="00D81E20">
              <w:rPr>
                <w:rFonts w:asciiTheme="majorHAnsi" w:hAnsiTheme="majorHAnsi"/>
                <w:color w:val="000000"/>
              </w:rPr>
              <w:t>Gravina</w:t>
            </w:r>
            <w:proofErr w:type="spellEnd"/>
            <w:r w:rsidR="00D81E20">
              <w:rPr>
                <w:rFonts w:asciiTheme="majorHAnsi" w:hAnsiTheme="majorHAnsi"/>
                <w:color w:val="000000"/>
              </w:rPr>
              <w:t xml:space="preserve"> (em anexo) e </w:t>
            </w:r>
            <w:r w:rsidR="000C3745">
              <w:rPr>
                <w:rFonts w:asciiTheme="majorHAnsi" w:hAnsiTheme="majorHAnsi"/>
                <w:color w:val="000000"/>
              </w:rPr>
              <w:t>informa</w:t>
            </w:r>
            <w:r>
              <w:rPr>
                <w:rFonts w:asciiTheme="majorHAnsi" w:hAnsiTheme="majorHAnsi"/>
                <w:color w:val="000000"/>
              </w:rPr>
              <w:t xml:space="preserve"> que é representante do CAU</w:t>
            </w:r>
            <w:r w:rsidR="000C3745">
              <w:rPr>
                <w:rFonts w:asciiTheme="majorHAnsi" w:hAnsiTheme="majorHAnsi"/>
                <w:color w:val="000000"/>
              </w:rPr>
              <w:t>/RS</w:t>
            </w:r>
            <w:r>
              <w:rPr>
                <w:rFonts w:asciiTheme="majorHAnsi" w:hAnsiTheme="majorHAnsi"/>
                <w:color w:val="000000"/>
              </w:rPr>
              <w:t xml:space="preserve"> na </w:t>
            </w:r>
            <w:r w:rsidRPr="00D81E20">
              <w:rPr>
                <w:rFonts w:asciiTheme="majorHAnsi" w:hAnsiTheme="majorHAnsi"/>
                <w:color w:val="000000"/>
              </w:rPr>
              <w:t xml:space="preserve">Comissão </w:t>
            </w:r>
            <w:r w:rsidR="00D81E20" w:rsidRPr="00D81E20">
              <w:rPr>
                <w:rFonts w:asciiTheme="majorHAnsi" w:hAnsiTheme="majorHAnsi"/>
                <w:color w:val="000000"/>
              </w:rPr>
              <w:t xml:space="preserve">Especial da </w:t>
            </w:r>
            <w:proofErr w:type="spellStart"/>
            <w:r w:rsidR="00D81E20" w:rsidRPr="00D81E20">
              <w:rPr>
                <w:rFonts w:asciiTheme="majorHAnsi" w:hAnsiTheme="majorHAnsi"/>
                <w:color w:val="000000"/>
              </w:rPr>
              <w:t>Maesa</w:t>
            </w:r>
            <w:proofErr w:type="spellEnd"/>
            <w:r w:rsidR="00D81E20">
              <w:rPr>
                <w:rFonts w:asciiTheme="majorHAnsi" w:hAnsiTheme="majorHAnsi"/>
                <w:color w:val="000000"/>
              </w:rPr>
              <w:t xml:space="preserve">. </w:t>
            </w:r>
            <w:r w:rsidR="000C3745">
              <w:rPr>
                <w:rFonts w:asciiTheme="majorHAnsi" w:hAnsiTheme="majorHAnsi"/>
                <w:color w:val="000000"/>
              </w:rPr>
              <w:t xml:space="preserve">Por tratar-se de ocupação de espaço destinado à comunidade de Caxias do Sul, o Conselheiro participa para acompanhar o andamento do projeto de destinação e as necessidades técnicas. </w:t>
            </w:r>
          </w:p>
          <w:p w:rsidR="000C3745" w:rsidRPr="007B6FE2" w:rsidRDefault="000C3745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</w:p>
          <w:p w:rsidR="00C32662" w:rsidRDefault="00C32662" w:rsidP="00AE4CB5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>
              <w:rPr>
                <w:rFonts w:asciiTheme="majorHAnsi" w:hAnsiTheme="majorHAnsi"/>
                <w:b/>
                <w:color w:val="000000"/>
              </w:rPr>
              <w:lastRenderedPageBreak/>
              <w:t>6.2 Resposta</w:t>
            </w:r>
            <w:proofErr w:type="gramEnd"/>
            <w:r>
              <w:rPr>
                <w:rFonts w:asciiTheme="majorHAnsi" w:hAnsiTheme="majorHAnsi"/>
                <w:b/>
                <w:color w:val="000000"/>
              </w:rPr>
              <w:t xml:space="preserve"> ao Memorando CEP-CAU/RS nº 017/2015: </w:t>
            </w:r>
          </w:p>
          <w:p w:rsidR="00C32662" w:rsidRDefault="000C3745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Referente ao </w:t>
            </w:r>
            <w:r w:rsidR="00C32662">
              <w:rPr>
                <w:rFonts w:asciiTheme="majorHAnsi" w:hAnsiTheme="majorHAnsi"/>
                <w:color w:val="000000"/>
              </w:rPr>
              <w:t xml:space="preserve">Memorando </w:t>
            </w:r>
            <w:r>
              <w:rPr>
                <w:rFonts w:asciiTheme="majorHAnsi" w:hAnsiTheme="majorHAnsi"/>
                <w:color w:val="000000"/>
              </w:rPr>
              <w:t>CEP-CAU/RS nº</w:t>
            </w:r>
            <w:r w:rsidR="00C32662">
              <w:rPr>
                <w:rFonts w:asciiTheme="majorHAnsi" w:hAnsiTheme="majorHAnsi"/>
                <w:color w:val="000000"/>
              </w:rPr>
              <w:t xml:space="preserve">017/2015, </w:t>
            </w:r>
            <w:r>
              <w:rPr>
                <w:rFonts w:asciiTheme="majorHAnsi" w:hAnsiTheme="majorHAnsi"/>
                <w:color w:val="000000"/>
              </w:rPr>
              <w:t xml:space="preserve">O Coordenador Carlos Pedone relata que o Gerente-Geral Fausto Loureiro respondeu que está em andamento o processo administrativo para </w:t>
            </w:r>
            <w:r w:rsidR="00C32662">
              <w:rPr>
                <w:rFonts w:asciiTheme="majorHAnsi" w:hAnsiTheme="majorHAnsi"/>
                <w:color w:val="000000"/>
              </w:rPr>
              <w:t>aquisição de cartões de visita. Nesse sentido, pede aos Conselheiros que aguardem a finalização da licitação.</w:t>
            </w:r>
          </w:p>
          <w:p w:rsidR="00C32662" w:rsidRDefault="00C32662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/>
              </w:rPr>
              <w:t xml:space="preserve">Em relação ao e-mail institucional, o Gerente-Geral disse que já é possível atender à solicitação. Contudo, a Comissão resolve utilizar somente o e-mail </w:t>
            </w:r>
            <w:hyperlink r:id="rId9" w:history="1">
              <w:r w:rsidRPr="007B6FE2">
                <w:rPr>
                  <w:rStyle w:val="Hyperlink"/>
                  <w:rFonts w:asciiTheme="majorHAnsi" w:hAnsiTheme="majorHAnsi"/>
                  <w:color w:val="000000" w:themeColor="text1"/>
                </w:rPr>
                <w:t>cep@caurs.gov.br</w:t>
              </w:r>
            </w:hyperlink>
            <w:r w:rsidRPr="007B6FE2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6C6086" w:rsidRDefault="006C6086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</w:p>
          <w:p w:rsidR="00C32662" w:rsidRDefault="007B6FE2" w:rsidP="00AE4CB5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>
              <w:rPr>
                <w:rFonts w:asciiTheme="majorHAnsi" w:hAnsiTheme="majorHAnsi"/>
                <w:b/>
                <w:color w:val="000000"/>
              </w:rPr>
              <w:t xml:space="preserve">6.3 </w:t>
            </w:r>
            <w:r w:rsidR="00C32662">
              <w:rPr>
                <w:rFonts w:asciiTheme="majorHAnsi" w:hAnsiTheme="majorHAnsi"/>
                <w:b/>
                <w:color w:val="000000"/>
              </w:rPr>
              <w:t>Ofício</w:t>
            </w:r>
            <w:proofErr w:type="gramEnd"/>
            <w:r w:rsidR="00C32662">
              <w:rPr>
                <w:rFonts w:asciiTheme="majorHAnsi" w:hAnsiTheme="majorHAnsi"/>
                <w:b/>
                <w:color w:val="000000"/>
              </w:rPr>
              <w:t xml:space="preserve"> às Prefeituras – ISSQN: </w:t>
            </w:r>
          </w:p>
          <w:p w:rsidR="00480431" w:rsidRPr="006C6086" w:rsidRDefault="006C6086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6C6086">
              <w:rPr>
                <w:rFonts w:asciiTheme="majorHAnsi" w:hAnsiTheme="majorHAnsi"/>
                <w:color w:val="000000"/>
              </w:rPr>
              <w:t xml:space="preserve">O Cons. </w:t>
            </w:r>
            <w:r>
              <w:rPr>
                <w:rFonts w:asciiTheme="majorHAnsi" w:hAnsiTheme="majorHAnsi"/>
                <w:color w:val="000000"/>
              </w:rPr>
              <w:t xml:space="preserve">Roberto </w:t>
            </w:r>
            <w:proofErr w:type="spellStart"/>
            <w:r w:rsidRPr="006C6086">
              <w:rPr>
                <w:rFonts w:asciiTheme="majorHAnsi" w:hAnsiTheme="majorHAnsi"/>
                <w:color w:val="000000"/>
              </w:rPr>
              <w:t>Decó</w:t>
            </w:r>
            <w:proofErr w:type="spellEnd"/>
            <w:r w:rsidRPr="006C6086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solicita que o item seja retomado na reunião do dia 20/08.</w:t>
            </w:r>
          </w:p>
          <w:p w:rsidR="006C6086" w:rsidRDefault="006C6086" w:rsidP="00AE4CB5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:rsidR="00480431" w:rsidRDefault="00480431" w:rsidP="00AE4CB5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6.4 </w:t>
            </w:r>
            <w:r w:rsidR="000C3745">
              <w:rPr>
                <w:rFonts w:asciiTheme="majorHAnsi" w:hAnsiTheme="majorHAnsi"/>
                <w:b/>
                <w:color w:val="000000"/>
              </w:rPr>
              <w:t>Demanda assessoria jurídica – autuação de leigo:</w:t>
            </w:r>
          </w:p>
          <w:p w:rsidR="00480431" w:rsidRDefault="000C3745" w:rsidP="00AE4CB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Sobre a solicitação da Comissão a respeito da autuação de leigo, o</w:t>
            </w:r>
            <w:r w:rsidR="00480431" w:rsidRPr="00480431">
              <w:rPr>
                <w:rFonts w:asciiTheme="majorHAnsi" w:hAnsiTheme="majorHAnsi"/>
                <w:color w:val="000000"/>
              </w:rPr>
              <w:t xml:space="preserve"> assessor Alexandre inf</w:t>
            </w:r>
            <w:r w:rsidR="00480431">
              <w:rPr>
                <w:rFonts w:asciiTheme="majorHAnsi" w:hAnsiTheme="majorHAnsi"/>
                <w:color w:val="000000"/>
              </w:rPr>
              <w:t>o</w:t>
            </w:r>
            <w:r w:rsidR="00480431" w:rsidRPr="00480431">
              <w:rPr>
                <w:rFonts w:asciiTheme="majorHAnsi" w:hAnsiTheme="majorHAnsi"/>
                <w:color w:val="000000"/>
              </w:rPr>
              <w:t>rma que</w:t>
            </w:r>
            <w:r w:rsidR="00A512BE">
              <w:rPr>
                <w:rFonts w:asciiTheme="majorHAnsi" w:hAnsiTheme="majorHAnsi"/>
                <w:color w:val="000000"/>
              </w:rPr>
              <w:t xml:space="preserve"> contatou </w:t>
            </w:r>
            <w:r w:rsidR="00480431">
              <w:rPr>
                <w:rFonts w:asciiTheme="majorHAnsi" w:hAnsiTheme="majorHAnsi"/>
                <w:color w:val="000000"/>
              </w:rPr>
              <w:t xml:space="preserve">o </w:t>
            </w:r>
            <w:r w:rsidR="00480431" w:rsidRPr="00480431">
              <w:rPr>
                <w:rFonts w:asciiTheme="majorHAnsi" w:hAnsiTheme="majorHAnsi"/>
                <w:color w:val="000000"/>
              </w:rPr>
              <w:t>CAU/MG</w:t>
            </w:r>
            <w:r w:rsidR="00A512BE">
              <w:rPr>
                <w:rFonts w:asciiTheme="majorHAnsi" w:hAnsiTheme="majorHAnsi"/>
                <w:color w:val="000000"/>
              </w:rPr>
              <w:t xml:space="preserve"> e </w:t>
            </w:r>
            <w:r w:rsidR="00480431">
              <w:rPr>
                <w:rFonts w:asciiTheme="majorHAnsi" w:hAnsiTheme="majorHAnsi"/>
                <w:color w:val="000000"/>
              </w:rPr>
              <w:t xml:space="preserve">foi informado </w:t>
            </w:r>
            <w:r w:rsidR="00A512BE">
              <w:rPr>
                <w:rFonts w:asciiTheme="majorHAnsi" w:hAnsiTheme="majorHAnsi"/>
                <w:color w:val="000000"/>
              </w:rPr>
              <w:t xml:space="preserve">de que </w:t>
            </w:r>
            <w:r w:rsidR="00480431">
              <w:rPr>
                <w:rFonts w:asciiTheme="majorHAnsi" w:hAnsiTheme="majorHAnsi"/>
                <w:color w:val="000000"/>
              </w:rPr>
              <w:t xml:space="preserve">Conselho não ingressou judicialmente contra o CREA/MG. O que está sendo feito </w:t>
            </w:r>
            <w:r>
              <w:rPr>
                <w:rFonts w:asciiTheme="majorHAnsi" w:hAnsiTheme="majorHAnsi"/>
                <w:color w:val="000000"/>
              </w:rPr>
              <w:t xml:space="preserve">é um contato com as prefeituras, com </w:t>
            </w:r>
            <w:r w:rsidR="00480431">
              <w:rPr>
                <w:rFonts w:asciiTheme="majorHAnsi" w:hAnsiTheme="majorHAnsi"/>
                <w:color w:val="000000"/>
              </w:rPr>
              <w:t>caráter orientativo</w:t>
            </w:r>
            <w:r>
              <w:rPr>
                <w:rFonts w:asciiTheme="majorHAnsi" w:hAnsiTheme="majorHAnsi"/>
                <w:color w:val="000000"/>
              </w:rPr>
              <w:t>, sobre a Resolução CAU/BR nº 51.</w:t>
            </w:r>
            <w:r w:rsidR="00A512BE">
              <w:rPr>
                <w:rFonts w:asciiTheme="majorHAnsi" w:hAnsiTheme="majorHAnsi"/>
                <w:color w:val="000000"/>
              </w:rPr>
              <w:t xml:space="preserve"> Quanto ao contato com o CAU/ES, o assessor informa que ainda</w:t>
            </w:r>
            <w:r w:rsidR="001D70FC">
              <w:rPr>
                <w:rFonts w:asciiTheme="majorHAnsi" w:hAnsiTheme="majorHAnsi"/>
                <w:color w:val="000000"/>
              </w:rPr>
              <w:t xml:space="preserve"> não</w:t>
            </w:r>
            <w:r w:rsidR="00A512BE">
              <w:rPr>
                <w:rFonts w:asciiTheme="majorHAnsi" w:hAnsiTheme="majorHAnsi"/>
                <w:color w:val="000000"/>
              </w:rPr>
              <w:t xml:space="preserve"> foi realizado.</w:t>
            </w:r>
          </w:p>
          <w:p w:rsidR="00313D69" w:rsidRDefault="00AE2E07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Coordenador Carlos Pedone solicita que a assessoria jurídica contate novamente a assessoria do CAU/BR solicitando retorno quanto à manifestação sobre autuação de leigo.</w:t>
            </w:r>
          </w:p>
          <w:p w:rsidR="00AE2E07" w:rsidRDefault="00AE2E07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item deverá retornar à pauta da próxima reunião.</w:t>
            </w:r>
          </w:p>
          <w:p w:rsidR="009A15E1" w:rsidRDefault="009A15E1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  <w:p w:rsidR="009A15E1" w:rsidRPr="009A15E1" w:rsidRDefault="009A15E1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9A15E1">
              <w:rPr>
                <w:rFonts w:asciiTheme="majorHAnsi" w:hAnsiTheme="majorHAnsi"/>
                <w:b/>
                <w:color w:val="000000"/>
              </w:rPr>
              <w:t>6.</w:t>
            </w:r>
            <w:r w:rsidR="006C6086">
              <w:rPr>
                <w:rFonts w:asciiTheme="majorHAnsi" w:hAnsiTheme="majorHAnsi"/>
                <w:b/>
                <w:color w:val="000000"/>
              </w:rPr>
              <w:t>5</w:t>
            </w:r>
            <w:r w:rsidRPr="009A15E1">
              <w:rPr>
                <w:rFonts w:asciiTheme="majorHAnsi" w:hAnsiTheme="majorHAnsi"/>
                <w:b/>
                <w:color w:val="000000"/>
              </w:rPr>
              <w:t xml:space="preserve"> Pauta</w:t>
            </w:r>
            <w:proofErr w:type="gramEnd"/>
            <w:r w:rsidRPr="009A15E1">
              <w:rPr>
                <w:rFonts w:asciiTheme="majorHAnsi" w:hAnsiTheme="majorHAnsi"/>
                <w:b/>
                <w:color w:val="000000"/>
              </w:rPr>
              <w:t xml:space="preserve"> para a próxima reunião:</w:t>
            </w:r>
          </w:p>
          <w:p w:rsidR="009A15E1" w:rsidRDefault="009A15E1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a) Texto de orientação aos fiscais sobre a autuação das prefeituras pelo CAU.</w:t>
            </w:r>
          </w:p>
          <w:p w:rsidR="00AE4CB5" w:rsidRDefault="00AE4CB5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b) Situação dos EPIs.</w:t>
            </w:r>
          </w:p>
          <w:p w:rsidR="006C6086" w:rsidRDefault="006C6086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  <w:p w:rsidR="006C6086" w:rsidRPr="006C6086" w:rsidRDefault="006C6086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6C6086">
              <w:rPr>
                <w:rFonts w:asciiTheme="majorHAnsi" w:hAnsiTheme="majorHAnsi"/>
                <w:b/>
                <w:color w:val="000000"/>
              </w:rPr>
              <w:t>6.6 Ciclo</w:t>
            </w:r>
            <w:proofErr w:type="gramEnd"/>
            <w:r w:rsidRPr="006C6086">
              <w:rPr>
                <w:rFonts w:asciiTheme="majorHAnsi" w:hAnsiTheme="majorHAnsi"/>
                <w:b/>
                <w:color w:val="000000"/>
              </w:rPr>
              <w:t xml:space="preserve"> de palestras do aço</w:t>
            </w:r>
            <w:r>
              <w:rPr>
                <w:rFonts w:asciiTheme="majorHAnsi" w:hAnsiTheme="majorHAnsi"/>
                <w:b/>
                <w:color w:val="000000"/>
              </w:rPr>
              <w:t xml:space="preserve"> e concurso de premiação de arquitetos por obra em aço:</w:t>
            </w:r>
          </w:p>
          <w:p w:rsidR="006C6086" w:rsidRPr="001B1B96" w:rsidRDefault="006C6086" w:rsidP="00AE4CB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solicita à Gerência que faça um levantamento sobre o concurso e apresente na reunião do dia 20/08.</w:t>
            </w:r>
          </w:p>
        </w:tc>
      </w:tr>
      <w:tr w:rsidR="00313D69" w:rsidRPr="002A2A40" w:rsidTr="005E504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313D6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5E504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F13EF9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  <w:r w:rsidR="00274A55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F13EF9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Retomar o assunto “Ofício às Prefeituras – ISSQN” na reunião de 20/08.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F13EF9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F13EF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F13EF9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  <w:r w:rsidR="00274A55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F13EF9" w:rsidP="00274A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a assessoria jurídica do CAU/BR para solicitar orientação quanto à autuação de leigo.</w:t>
            </w:r>
            <w:r w:rsidR="00274A55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8612E2" w:rsidRDefault="001D70FC" w:rsidP="001D70F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Santos.</w:t>
            </w:r>
            <w:bookmarkStart w:id="0" w:name="_GoBack"/>
            <w:bookmarkEnd w:id="0"/>
          </w:p>
        </w:tc>
      </w:tr>
      <w:tr w:rsidR="00274A55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74A55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74A55" w:rsidRDefault="00274A55" w:rsidP="00274A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“Contato com o CAU/BR sobre autuação de leigo”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74A55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F13EF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274A55" w:rsidP="00274A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Realizar pesquisa sobre o concurso de premiação de arquitetos por obra em aço e apresentar na reunião do dia 20/08. 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8612E2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F13EF9" w:rsidRPr="002A2A40" w:rsidTr="005E504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6472D2" w:rsidRDefault="00274A55" w:rsidP="00274A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“Apresentação da pesquisa sobre concurso de obra em aço”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13EF9" w:rsidRPr="008612E2" w:rsidRDefault="00274A55" w:rsidP="005E504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9D130A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Default="009D130A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8612E2">
              <w:rPr>
                <w:rFonts w:asciiTheme="majorHAnsi" w:hAnsiTheme="majorHAnsi" w:cs="Times New Roman"/>
              </w:rPr>
              <w:lastRenderedPageBreak/>
              <w:t>Oritz</w:t>
            </w:r>
            <w:proofErr w:type="spellEnd"/>
            <w:r w:rsidRPr="008612E2">
              <w:rPr>
                <w:rFonts w:asciiTheme="majorHAnsi" w:hAnsiTheme="majorHAnsi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Sílvia Monteiro </w:t>
            </w:r>
            <w:proofErr w:type="spellStart"/>
            <w:r w:rsidRPr="008612E2"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E538BF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Maríndia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Alexandre Noal</w:t>
            </w:r>
            <w:r w:rsidR="00274A55">
              <w:rPr>
                <w:rFonts w:asciiTheme="majorHAnsi" w:hAnsiTheme="majorHAnsi" w:cs="Arial"/>
              </w:rPr>
              <w:t xml:space="preserve"> dos Santos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274A55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274A55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274A55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A55" w:rsidRPr="008612E2" w:rsidRDefault="00274A55" w:rsidP="009C00F9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A55" w:rsidRPr="008612E2" w:rsidRDefault="00274A55" w:rsidP="009C00F9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A55" w:rsidRPr="008612E2" w:rsidRDefault="00274A55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10"/>
      <w:footerReference w:type="default" r:id="rId11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F9" w:rsidRDefault="009C00F9" w:rsidP="00A021E7">
      <w:pPr>
        <w:spacing w:after="0" w:line="240" w:lineRule="auto"/>
      </w:pPr>
      <w:r>
        <w:separator/>
      </w:r>
    </w:p>
  </w:endnote>
  <w:endnote w:type="continuationSeparator" w:id="0">
    <w:p w:rsidR="009C00F9" w:rsidRDefault="009C00F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C00F9" w:rsidRPr="005E4F36" w:rsidRDefault="009C00F9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D70FC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C00F9" w:rsidRPr="005E4F36" w:rsidRDefault="009C00F9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F9" w:rsidRDefault="009C00F9" w:rsidP="00A021E7">
      <w:pPr>
        <w:spacing w:after="0" w:line="240" w:lineRule="auto"/>
      </w:pPr>
      <w:r>
        <w:separator/>
      </w:r>
    </w:p>
  </w:footnote>
  <w:footnote w:type="continuationSeparator" w:id="0">
    <w:p w:rsidR="009C00F9" w:rsidRDefault="009C00F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F9" w:rsidRDefault="009C00F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1"/>
  </w:num>
  <w:num w:numId="5">
    <w:abstractNumId w:val="0"/>
  </w:num>
  <w:num w:numId="6">
    <w:abstractNumId w:val="2"/>
  </w:num>
  <w:num w:numId="7">
    <w:abstractNumId w:val="10"/>
  </w:num>
  <w:num w:numId="8">
    <w:abstractNumId w:val="12"/>
  </w:num>
  <w:num w:numId="9">
    <w:abstractNumId w:val="16"/>
  </w:num>
  <w:num w:numId="10">
    <w:abstractNumId w:val="11"/>
  </w:num>
  <w:num w:numId="11">
    <w:abstractNumId w:val="9"/>
  </w:num>
  <w:num w:numId="12">
    <w:abstractNumId w:val="19"/>
  </w:num>
  <w:num w:numId="13">
    <w:abstractNumId w:val="8"/>
  </w:num>
  <w:num w:numId="14">
    <w:abstractNumId w:val="5"/>
  </w:num>
  <w:num w:numId="15">
    <w:abstractNumId w:val="17"/>
  </w:num>
  <w:num w:numId="16">
    <w:abstractNumId w:val="15"/>
  </w:num>
  <w:num w:numId="17">
    <w:abstractNumId w:val="3"/>
  </w:num>
  <w:num w:numId="18">
    <w:abstractNumId w:val="14"/>
  </w:num>
  <w:num w:numId="19">
    <w:abstractNumId w:val="1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45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6CD5"/>
    <w:rsid w:val="001D70FC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A55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1A2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0E9A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5DC0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4B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8F7F65"/>
    <w:rsid w:val="00900056"/>
    <w:rsid w:val="00900777"/>
    <w:rsid w:val="00901E09"/>
    <w:rsid w:val="00901E4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0F9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965"/>
    <w:rsid w:val="00A46FF5"/>
    <w:rsid w:val="00A47846"/>
    <w:rsid w:val="00A47DDD"/>
    <w:rsid w:val="00A506E7"/>
    <w:rsid w:val="00A50EA7"/>
    <w:rsid w:val="00A511EE"/>
    <w:rsid w:val="00A5123E"/>
    <w:rsid w:val="00A512B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2628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E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40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EF9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p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1B96-B546-4BFB-BB91-BFA3AA4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5</Pages>
  <Words>1450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2015-05-06T14:41:00Z</cp:lastPrinted>
  <dcterms:created xsi:type="dcterms:W3CDTF">2015-07-23T18:19:00Z</dcterms:created>
  <dcterms:modified xsi:type="dcterms:W3CDTF">2015-08-13T13:32:00Z</dcterms:modified>
</cp:coreProperties>
</file>