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8612E2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8612E2" w:rsidRDefault="00037EE4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13</w:t>
            </w:r>
            <w:r w:rsidR="009C3DAC" w:rsidRPr="008612E2">
              <w:rPr>
                <w:rFonts w:asciiTheme="majorHAnsi" w:hAnsiTheme="majorHAnsi" w:cs="Times New Roman"/>
                <w:b/>
              </w:rPr>
              <w:t>2</w:t>
            </w:r>
            <w:r w:rsidR="000C5A61" w:rsidRPr="008612E2">
              <w:rPr>
                <w:rFonts w:asciiTheme="majorHAnsi" w:hAnsiTheme="majorHAnsi" w:cs="Times New Roman"/>
                <w:b/>
              </w:rPr>
              <w:t>ª</w:t>
            </w:r>
            <w:r w:rsidR="00020BC5" w:rsidRPr="008612E2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8612E2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2A2A40" w:rsidTr="008612E2">
        <w:tc>
          <w:tcPr>
            <w:tcW w:w="4797" w:type="dxa"/>
            <w:gridSpan w:val="3"/>
            <w:vAlign w:val="center"/>
          </w:tcPr>
          <w:p w:rsidR="009E47A2" w:rsidRPr="008612E2" w:rsidRDefault="009E47A2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LOCAL:</w:t>
            </w:r>
            <w:r w:rsidRPr="008612E2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8612E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  <w:b/>
              </w:rPr>
              <w:t>Data:</w:t>
            </w:r>
            <w:r w:rsidRPr="008612E2">
              <w:rPr>
                <w:rFonts w:asciiTheme="majorHAnsi" w:hAnsiTheme="majorHAnsi" w:cs="Arial"/>
              </w:rPr>
              <w:t xml:space="preserve"> </w:t>
            </w:r>
            <w:r w:rsidR="00E44001" w:rsidRPr="008612E2">
              <w:rPr>
                <w:rFonts w:asciiTheme="majorHAnsi" w:hAnsiTheme="majorHAnsi" w:cs="Arial"/>
              </w:rPr>
              <w:t>25</w:t>
            </w:r>
            <w:r w:rsidR="00037EE4" w:rsidRPr="008612E2">
              <w:rPr>
                <w:rFonts w:asciiTheme="majorHAnsi" w:hAnsiTheme="majorHAnsi" w:cs="Arial"/>
              </w:rPr>
              <w:t>/06</w:t>
            </w:r>
            <w:r w:rsidRPr="008612E2">
              <w:rPr>
                <w:rFonts w:asciiTheme="majorHAnsi" w:hAnsiTheme="majorHAnsi" w:cs="Arial"/>
              </w:rPr>
              <w:t>/2015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Hora início:</w:t>
            </w:r>
            <w:r w:rsidRPr="008612E2">
              <w:rPr>
                <w:rFonts w:asciiTheme="majorHAnsi" w:hAnsiTheme="majorHAnsi" w:cs="Arial"/>
              </w:rPr>
              <w:t xml:space="preserve"> 10h</w:t>
            </w:r>
            <w:r w:rsidR="00D207F3" w:rsidRPr="008612E2">
              <w:rPr>
                <w:rFonts w:asciiTheme="majorHAnsi" w:hAnsiTheme="majorHAnsi" w:cs="Arial"/>
              </w:rPr>
              <w:t>.</w:t>
            </w:r>
            <w:r w:rsidRPr="008612E2">
              <w:rPr>
                <w:rFonts w:asciiTheme="majorHAnsi" w:hAnsiTheme="majorHAnsi" w:cs="Arial"/>
                <w:b/>
              </w:rPr>
              <w:tab/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 xml:space="preserve">Hora término: </w:t>
            </w:r>
            <w:r w:rsidRPr="008612E2">
              <w:rPr>
                <w:rFonts w:asciiTheme="majorHAnsi" w:hAnsiTheme="majorHAnsi" w:cs="Arial"/>
              </w:rPr>
              <w:t>13h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PRESENTES:</w:t>
            </w:r>
            <w:r w:rsidRPr="008612E2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8612E2" w:rsidRDefault="009A1090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 </w:t>
            </w:r>
            <w:r w:rsidR="00A23E28" w:rsidRPr="008612E2">
              <w:rPr>
                <w:rFonts w:asciiTheme="majorHAnsi" w:hAnsiTheme="majorHAnsi" w:cs="Times New Roman"/>
              </w:rPr>
              <w:t xml:space="preserve">O Coordenador Carlos Eduardo Mesquita Pedone, as </w:t>
            </w:r>
            <w:r w:rsidRPr="008612E2">
              <w:rPr>
                <w:rFonts w:asciiTheme="majorHAnsi" w:hAnsiTheme="majorHAnsi" w:cs="Times New Roman"/>
              </w:rPr>
              <w:t>Conselheira</w:t>
            </w:r>
            <w:r w:rsidR="00A23E28" w:rsidRPr="008612E2">
              <w:rPr>
                <w:rFonts w:asciiTheme="majorHAnsi" w:hAnsiTheme="majorHAnsi" w:cs="Times New Roman"/>
              </w:rPr>
              <w:t>s</w:t>
            </w:r>
            <w:r w:rsidRPr="008612E2">
              <w:rPr>
                <w:rFonts w:asciiTheme="majorHAnsi" w:hAnsiTheme="majorHAnsi" w:cs="Times New Roman"/>
              </w:rPr>
              <w:t xml:space="preserve"> Sílvia Monteiro Barakat</w:t>
            </w:r>
            <w:r w:rsidR="00A23E28" w:rsidRPr="008612E2">
              <w:rPr>
                <w:rFonts w:asciiTheme="majorHAnsi" w:hAnsiTheme="majorHAnsi" w:cs="Times New Roman"/>
              </w:rPr>
              <w:t xml:space="preserve"> e Rosana Oppitz</w:t>
            </w:r>
            <w:r w:rsidRPr="008612E2">
              <w:rPr>
                <w:rFonts w:asciiTheme="majorHAnsi" w:hAnsiTheme="majorHAnsi" w:cs="Times New Roman"/>
              </w:rPr>
              <w:t>,</w:t>
            </w:r>
            <w:r w:rsidR="008612E2">
              <w:rPr>
                <w:rFonts w:asciiTheme="majorHAnsi" w:hAnsiTheme="majorHAnsi" w:cs="Times New Roman"/>
              </w:rPr>
              <w:t xml:space="preserve"> os</w:t>
            </w:r>
            <w:r w:rsidRPr="008612E2">
              <w:rPr>
                <w:rFonts w:asciiTheme="majorHAnsi" w:hAnsiTheme="majorHAnsi" w:cs="Times New Roman"/>
              </w:rPr>
              <w:t xml:space="preserve"> Conselheiros Oritz Adriano Adams de Campos e Roberto Luiz Decó; </w:t>
            </w:r>
            <w:r w:rsidR="008612E2">
              <w:rPr>
                <w:rFonts w:asciiTheme="majorHAnsi" w:hAnsiTheme="majorHAnsi" w:cs="Times New Roman"/>
              </w:rPr>
              <w:t>o</w:t>
            </w:r>
            <w:r w:rsidR="008612E2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8612E2">
              <w:rPr>
                <w:rFonts w:asciiTheme="majorHAnsi" w:hAnsiTheme="majorHAnsi" w:cs="Times New Roman"/>
              </w:rPr>
              <w:t>o</w:t>
            </w:r>
            <w:r w:rsidR="008612E2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8612E2">
              <w:rPr>
                <w:rFonts w:asciiTheme="majorHAnsi" w:hAnsiTheme="majorHAnsi" w:cs="Times New Roman"/>
              </w:rPr>
              <w:t xml:space="preserve"> Substituto Rodrigo Jaroseski e o Assessor Jurídico Mauro Maciel</w:t>
            </w:r>
            <w:r w:rsidR="008612E2" w:rsidRPr="002A2A40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002A8D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 xml:space="preserve">1. </w:t>
            </w:r>
            <w:r w:rsidR="009C3DAC" w:rsidRPr="008612E2">
              <w:rPr>
                <w:rFonts w:asciiTheme="majorHAnsi" w:hAnsiTheme="majorHAnsi" w:cs="Times New Roman"/>
                <w:b/>
              </w:rPr>
              <w:t>Aprovação da súmula da 13</w:t>
            </w:r>
            <w:r w:rsidRPr="008612E2">
              <w:rPr>
                <w:rFonts w:asciiTheme="majorHAnsi" w:hAnsiTheme="majorHAnsi" w:cs="Times New Roman"/>
                <w:b/>
              </w:rPr>
              <w:t>0</w:t>
            </w:r>
            <w:r w:rsidR="00927267" w:rsidRPr="008612E2">
              <w:rPr>
                <w:rFonts w:asciiTheme="majorHAnsi" w:hAnsiTheme="majorHAnsi" w:cs="Times New Roman"/>
                <w:b/>
              </w:rPr>
              <w:t>ª R</w:t>
            </w:r>
            <w:r w:rsidR="00315C4E" w:rsidRPr="008612E2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8612E2">
              <w:rPr>
                <w:rFonts w:asciiTheme="majorHAnsi" w:hAnsiTheme="majorHAnsi" w:cs="Times New Roman"/>
                <w:b/>
              </w:rPr>
              <w:t>Ordinária</w:t>
            </w:r>
            <w:r w:rsidR="00315C4E" w:rsidRPr="008612E2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8612E2" w:rsidRDefault="008612E2" w:rsidP="008612E2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revisada novamente. Definiu-se por aguardar o retorno da Assessora Maríndia para revisão final da súmula, que será pautada para a 134ª Reunião Ordinária da CEP</w:t>
            </w:r>
            <w:r w:rsidR="00ED3BD3">
              <w:rPr>
                <w:rFonts w:asciiTheme="majorHAnsi" w:eastAsia="Times New Roman" w:hAnsiTheme="majorHAnsi" w:cs="Times New Roman"/>
                <w:color w:val="000000"/>
              </w:rPr>
              <w:t>.</w:t>
            </w:r>
          </w:p>
        </w:tc>
      </w:tr>
      <w:tr w:rsidR="009E47A2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8612E2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  <w:r w:rsidR="009759BD">
              <w:rPr>
                <w:rFonts w:asciiTheme="majorHAnsi" w:hAnsiTheme="majorHAnsi" w:cs="Times New Roman"/>
              </w:rPr>
              <w:t>/RS</w:t>
            </w: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8612E2" w:rsidRDefault="008612E2" w:rsidP="00643DB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</w:t>
            </w:r>
            <w:r w:rsidR="00643DBD">
              <w:rPr>
                <w:rFonts w:asciiTheme="majorHAnsi" w:hAnsiTheme="majorHAnsi" w:cs="Times New Roman"/>
              </w:rPr>
              <w:t>autar aprovação da Súmula para 09</w:t>
            </w:r>
            <w:r>
              <w:rPr>
                <w:rFonts w:asciiTheme="majorHAnsi" w:hAnsiTheme="majorHAnsi" w:cs="Times New Roman"/>
              </w:rPr>
              <w:t>/07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8612E2" w:rsidP="008612E2">
            <w:pPr>
              <w:pStyle w:val="SemEspaamen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Rodrigo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8612E2">
            <w:pPr>
              <w:tabs>
                <w:tab w:val="left" w:pos="317"/>
              </w:tabs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2. Aprovação da súmula da 131ª Reunião Ordinária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AE4B05" w:rsidRPr="008612E2" w:rsidRDefault="008612E2" w:rsidP="008612E2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3842B6">
              <w:rPr>
                <w:rFonts w:asciiTheme="majorHAnsi" w:eastAsia="Times New Roman" w:hAnsiTheme="majorHAnsi" w:cs="Times New Roman"/>
                <w:color w:val="000000"/>
              </w:rPr>
              <w:t xml:space="preserve">A súmula foi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revisada e após ajustes sugeridos pelo Conselheiro Pedone, foi </w:t>
            </w:r>
            <w:r w:rsidRPr="003842B6">
              <w:rPr>
                <w:rFonts w:asciiTheme="majorHAnsi" w:eastAsia="Times New Roman" w:hAnsiTheme="majorHAnsi" w:cs="Times New Roman"/>
                <w:color w:val="000000"/>
              </w:rPr>
              <w:t>aprovada pelos presentes.</w:t>
            </w:r>
          </w:p>
        </w:tc>
      </w:tr>
      <w:tr w:rsidR="009E47A2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8612E2" w:rsidRDefault="005A300A" w:rsidP="008612E2">
            <w:pPr>
              <w:ind w:right="-1"/>
              <w:rPr>
                <w:rFonts w:asciiTheme="majorHAnsi" w:hAnsiTheme="majorHAnsi" w:cs="Times New Roman"/>
                <w:highlight w:val="yellow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8612E2" w:rsidRDefault="005A300A" w:rsidP="008612E2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5A300A" w:rsidRPr="00AD7750" w:rsidTr="008D4A2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3. Preenchimento de dados do Relatório de Execução Quadrimestral do Plano de Ação (1° Quadrimestre) CAU/RS – CEP</w:t>
            </w:r>
          </w:p>
        </w:tc>
      </w:tr>
      <w:tr w:rsidR="005A300A" w:rsidRPr="002A2A40" w:rsidTr="008D4A22">
        <w:trPr>
          <w:trHeight w:val="203"/>
        </w:trPr>
        <w:tc>
          <w:tcPr>
            <w:tcW w:w="9333" w:type="dxa"/>
            <w:gridSpan w:val="7"/>
            <w:shd w:val="clear" w:color="auto" w:fill="auto"/>
          </w:tcPr>
          <w:p w:rsidR="004D2013" w:rsidRDefault="008D4A22" w:rsidP="009759BD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0A08ED">
              <w:rPr>
                <w:rFonts w:asciiTheme="majorHAnsi" w:eastAsia="Times New Roman" w:hAnsiTheme="majorHAnsi" w:cs="Times New Roman"/>
                <w:color w:val="000000"/>
              </w:rPr>
              <w:t>Foi feita a revisão da planilha com as metas da CEP definidas para 2015</w:t>
            </w:r>
            <w:r w:rsidR="00CF46B1">
              <w:rPr>
                <w:rFonts w:asciiTheme="majorHAnsi" w:eastAsia="Times New Roman" w:hAnsiTheme="majorHAnsi" w:cs="Times New Roman"/>
                <w:color w:val="000000"/>
              </w:rPr>
              <w:t>,</w:t>
            </w:r>
            <w:r w:rsidRPr="000A08ED">
              <w:rPr>
                <w:rFonts w:asciiTheme="majorHAnsi" w:eastAsia="Times New Roman" w:hAnsiTheme="majorHAnsi" w:cs="Times New Roman"/>
                <w:color w:val="000000"/>
              </w:rPr>
              <w:t xml:space="preserve"> com inserção de dados necessários</w:t>
            </w:r>
            <w:r w:rsidR="00CF46B1">
              <w:rPr>
                <w:rFonts w:asciiTheme="majorHAnsi" w:eastAsia="Times New Roman" w:hAnsiTheme="majorHAnsi" w:cs="Times New Roman"/>
                <w:color w:val="000000"/>
              </w:rPr>
              <w:t>, justificativa dos itens não concluídos, re</w:t>
            </w:r>
            <w:r w:rsidRPr="000A08ED">
              <w:rPr>
                <w:rFonts w:asciiTheme="majorHAnsi" w:eastAsia="Times New Roman" w:hAnsiTheme="majorHAnsi" w:cs="Times New Roman"/>
                <w:color w:val="000000"/>
              </w:rPr>
              <w:t>definiç</w:t>
            </w:r>
            <w:r w:rsidR="00CF46B1">
              <w:rPr>
                <w:rFonts w:asciiTheme="majorHAnsi" w:eastAsia="Times New Roman" w:hAnsiTheme="majorHAnsi" w:cs="Times New Roman"/>
                <w:color w:val="000000"/>
              </w:rPr>
              <w:t>ão</w:t>
            </w:r>
            <w:r w:rsidRPr="000A08ED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="00CF46B1">
              <w:rPr>
                <w:rFonts w:asciiTheme="majorHAnsi" w:eastAsia="Times New Roman" w:hAnsiTheme="majorHAnsi" w:cs="Times New Roman"/>
                <w:color w:val="000000"/>
              </w:rPr>
              <w:t xml:space="preserve">dos responsáveis por cada item, programação de ações para corrigir ou atender às metas e sinalização das metas que não serão alcançadas para revisão futura. </w:t>
            </w:r>
            <w:r w:rsidR="008A7747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Pr="000A08ED">
              <w:rPr>
                <w:rFonts w:asciiTheme="majorHAnsi" w:eastAsia="Times New Roman" w:hAnsiTheme="majorHAnsi" w:cs="Times New Roman"/>
                <w:color w:val="000000"/>
              </w:rPr>
              <w:t>A planilha será encaminhada ao setor de planejamento do CAU para envio ao CAU/BR em 26/06/2015.</w:t>
            </w:r>
            <w:r w:rsidR="00CF46B1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</w:p>
          <w:p w:rsidR="00A40F9C" w:rsidRDefault="00A40F9C" w:rsidP="00B431A4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Ações a serem implementadas: Corrigir a meta de reunião extraordinária em função das demandas. </w:t>
            </w:r>
            <w:r w:rsidR="00B431A4">
              <w:rPr>
                <w:rFonts w:asciiTheme="majorHAnsi" w:eastAsia="Times New Roman" w:hAnsiTheme="majorHAnsi" w:cs="Times New Roman"/>
                <w:color w:val="000000"/>
              </w:rPr>
              <w:t xml:space="preserve">Seguir com o trabalho nas feiras. Revisar a meta sobre os shoppings. Avaliar a utilização de drones. Programar Seminário de Fiscalização para o dia 11 de setembro de 2015. Programar Seminário de Exercício Profissional para o dia 20 de novembro. Revisão e realização de ações junto aos parlamentares, após o 3° Seminário Legislativo.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Planejamento de ação junto aos municípios utilizando os dados levantados pela fiscalização através de comunicação educativa a respeito da revisão dos planos diretores estabelecida pelo Estatuto das Cidades.</w:t>
            </w:r>
          </w:p>
          <w:p w:rsidR="0043013A" w:rsidRPr="008612E2" w:rsidRDefault="0043013A" w:rsidP="00B431A4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  <w:tr w:rsidR="005A300A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8D4A22" w:rsidRPr="008D4A22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8D4A22" w:rsidRDefault="008D4A22" w:rsidP="008612E2">
            <w:pPr>
              <w:ind w:right="-1"/>
              <w:rPr>
                <w:rFonts w:asciiTheme="majorHAnsi" w:hAnsiTheme="majorHAnsi" w:cs="Times New Roman"/>
              </w:rPr>
            </w:pPr>
            <w:r w:rsidRPr="008D4A22">
              <w:rPr>
                <w:rFonts w:asciiTheme="majorHAnsi" w:hAnsiTheme="majorHAnsi" w:cs="Times New Roman"/>
              </w:rPr>
              <w:t>CEP</w:t>
            </w:r>
            <w:r w:rsidR="009759BD">
              <w:rPr>
                <w:rFonts w:asciiTheme="majorHAnsi" w:hAnsiTheme="majorHAnsi" w:cs="Times New Roman"/>
              </w:rPr>
              <w:t>/RS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8D4A22" w:rsidRDefault="008D4A22" w:rsidP="000A08E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Comp</w:t>
            </w:r>
            <w:r w:rsidR="000A08ED">
              <w:rPr>
                <w:rFonts w:asciiTheme="majorHAnsi" w:hAnsiTheme="majorHAnsi" w:cs="Times New Roman"/>
              </w:rPr>
              <w:t>lementação da tabela e envio a</w:t>
            </w:r>
            <w:r>
              <w:rPr>
                <w:rFonts w:asciiTheme="majorHAnsi" w:hAnsiTheme="majorHAnsi" w:cs="Times New Roman"/>
              </w:rPr>
              <w:t xml:space="preserve">os Conselheiros </w:t>
            </w:r>
            <w:r w:rsidR="000A08ED">
              <w:rPr>
                <w:rFonts w:asciiTheme="majorHAnsi" w:hAnsiTheme="majorHAnsi" w:cs="Times New Roman"/>
              </w:rPr>
              <w:t xml:space="preserve">para aprovação </w:t>
            </w:r>
            <w:r>
              <w:rPr>
                <w:rFonts w:asciiTheme="majorHAnsi" w:hAnsiTheme="majorHAnsi" w:cs="Times New Roman"/>
              </w:rPr>
              <w:t xml:space="preserve">e </w:t>
            </w:r>
            <w:r w:rsidR="00ED3BD3">
              <w:rPr>
                <w:rFonts w:asciiTheme="majorHAnsi" w:hAnsiTheme="majorHAnsi" w:cs="Times New Roman"/>
              </w:rPr>
              <w:t xml:space="preserve">posterior </w:t>
            </w:r>
            <w:r w:rsidR="000A08ED">
              <w:rPr>
                <w:rFonts w:asciiTheme="majorHAnsi" w:hAnsiTheme="majorHAnsi" w:cs="Times New Roman"/>
              </w:rPr>
              <w:t xml:space="preserve">encaminhamento </w:t>
            </w:r>
            <w:r>
              <w:rPr>
                <w:rFonts w:asciiTheme="majorHAnsi" w:hAnsiTheme="majorHAnsi" w:cs="Times New Roman"/>
              </w:rPr>
              <w:t>ao setor de planejamento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8D4A22" w:rsidRDefault="008D4A22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1B1729" w:rsidRPr="008D4A22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29" w:rsidRPr="00EE365D" w:rsidRDefault="001B1729" w:rsidP="008612E2">
            <w:pPr>
              <w:ind w:right="-1"/>
              <w:rPr>
                <w:rFonts w:asciiTheme="majorHAnsi" w:hAnsiTheme="majorHAnsi" w:cs="Times New Roman"/>
              </w:rPr>
            </w:pPr>
            <w:r w:rsidRPr="00EE365D">
              <w:rPr>
                <w:rFonts w:asciiTheme="majorHAnsi" w:hAnsiTheme="majorHAnsi" w:cs="Times New Roman"/>
              </w:rPr>
              <w:t>CEP</w:t>
            </w:r>
            <w:r w:rsidR="009759BD">
              <w:rPr>
                <w:rFonts w:asciiTheme="majorHAnsi" w:hAnsiTheme="majorHAnsi" w:cs="Times New Roman"/>
              </w:rPr>
              <w:t>/RS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29" w:rsidRPr="00EE365D" w:rsidRDefault="001B1729" w:rsidP="000A08ED">
            <w:pPr>
              <w:ind w:right="-1"/>
              <w:rPr>
                <w:rFonts w:asciiTheme="majorHAnsi" w:hAnsiTheme="majorHAnsi" w:cs="Times New Roman"/>
              </w:rPr>
            </w:pPr>
            <w:r w:rsidRPr="00EE365D">
              <w:rPr>
                <w:rFonts w:asciiTheme="majorHAnsi" w:hAnsiTheme="majorHAnsi" w:cs="Times New Roman"/>
              </w:rPr>
              <w:t>Elaboração da tabela de pendências para elaboração do planejamento das ações durante o segundo semestre de 2015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729" w:rsidRDefault="001B1729" w:rsidP="008612E2">
            <w:pPr>
              <w:ind w:right="-1"/>
              <w:rPr>
                <w:rFonts w:asciiTheme="majorHAnsi" w:hAnsiTheme="majorHAnsi" w:cs="Times New Roman"/>
              </w:rPr>
            </w:pPr>
            <w:r w:rsidRPr="00EE365D">
              <w:rPr>
                <w:rFonts w:asciiTheme="majorHAnsi" w:hAnsiTheme="majorHAnsi" w:cs="Times New Roman"/>
              </w:rPr>
              <w:t>Secretária</w:t>
            </w:r>
          </w:p>
        </w:tc>
      </w:tr>
      <w:tr w:rsidR="00A40F9C" w:rsidRPr="008D4A22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9C" w:rsidRPr="00EE365D" w:rsidRDefault="00A40F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lastRenderedPageBreak/>
              <w:t>CEP/RS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9C" w:rsidRPr="00EE365D" w:rsidRDefault="00A40F9C" w:rsidP="00B431A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Pautar para </w:t>
            </w:r>
            <w:r w:rsidR="00B431A4">
              <w:rPr>
                <w:rFonts w:asciiTheme="majorHAnsi" w:hAnsiTheme="majorHAnsi" w:cs="Times New Roman"/>
              </w:rPr>
              <w:t xml:space="preserve">a próxima </w:t>
            </w:r>
            <w:r>
              <w:rPr>
                <w:rFonts w:asciiTheme="majorHAnsi" w:hAnsiTheme="majorHAnsi" w:cs="Times New Roman"/>
              </w:rPr>
              <w:t xml:space="preserve">reunião </w:t>
            </w:r>
            <w:r w:rsidR="00B431A4">
              <w:rPr>
                <w:rFonts w:asciiTheme="majorHAnsi" w:hAnsiTheme="majorHAnsi" w:cs="Times New Roman"/>
              </w:rPr>
              <w:t>a</w:t>
            </w:r>
            <w:r>
              <w:rPr>
                <w:rFonts w:asciiTheme="majorHAnsi" w:hAnsiTheme="majorHAnsi" w:cs="Times New Roman"/>
              </w:rPr>
              <w:t xml:space="preserve"> revisão das metas da comissão e organização das ações definidas</w:t>
            </w:r>
            <w:r w:rsidR="00B431A4">
              <w:rPr>
                <w:rFonts w:asciiTheme="majorHAnsi" w:hAnsiTheme="majorHAnsi" w:cs="Times New Roman"/>
              </w:rPr>
              <w:t xml:space="preserve"> acima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9C" w:rsidRPr="00EE365D" w:rsidRDefault="00A40F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5A300A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4. Apresentação dos Questionamentos referentes à Resolução 51 realizados pelas Prefeituras e/ou Profissionais</w:t>
            </w:r>
          </w:p>
        </w:tc>
      </w:tr>
      <w:tr w:rsidR="00682E44" w:rsidRPr="00682E44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2109A0" w:rsidRDefault="008D4A22" w:rsidP="000A08ED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 w:rsidRPr="000A08ED">
              <w:rPr>
                <w:rFonts w:asciiTheme="majorHAnsi" w:eastAsia="BatangChe" w:hAnsiTheme="majorHAnsi" w:cs="Times New Roman"/>
              </w:rPr>
              <w:t xml:space="preserve">Foram localizadas 3 denúncias e diversos e-mails de prefeituras solicitando esclarecimentos sobre a Resolução 51. </w:t>
            </w:r>
            <w:r w:rsidR="00682E44" w:rsidRPr="000A08ED">
              <w:rPr>
                <w:rFonts w:asciiTheme="majorHAnsi" w:eastAsia="BatangChe" w:hAnsiTheme="majorHAnsi" w:cs="Times New Roman"/>
              </w:rPr>
              <w:t xml:space="preserve"> As Denúncias referiam-se aos Municípios de </w:t>
            </w:r>
            <w:r w:rsidR="000A08ED">
              <w:rPr>
                <w:rFonts w:asciiTheme="majorHAnsi" w:eastAsia="BatangChe" w:hAnsiTheme="majorHAnsi" w:cs="Times New Roman"/>
              </w:rPr>
              <w:t>E</w:t>
            </w:r>
            <w:r w:rsidR="00682E44" w:rsidRPr="000A08ED">
              <w:rPr>
                <w:rFonts w:asciiTheme="majorHAnsi" w:eastAsia="BatangChe" w:hAnsiTheme="majorHAnsi" w:cs="Times New Roman"/>
              </w:rPr>
              <w:t xml:space="preserve">spumoso, São Lourenço, </w:t>
            </w:r>
            <w:r w:rsidR="00F858FE" w:rsidRPr="000A08ED">
              <w:rPr>
                <w:rFonts w:asciiTheme="majorHAnsi" w:eastAsia="BatangChe" w:hAnsiTheme="majorHAnsi" w:cs="Times New Roman"/>
              </w:rPr>
              <w:t xml:space="preserve">Porto Xavier, Pirapó, Roque Gonzales, São Pedro do Butiá, São Paulo das </w:t>
            </w:r>
            <w:r w:rsidR="004B5FC8">
              <w:rPr>
                <w:rFonts w:asciiTheme="majorHAnsi" w:eastAsia="BatangChe" w:hAnsiTheme="majorHAnsi" w:cs="Times New Roman"/>
              </w:rPr>
              <w:t>M</w:t>
            </w:r>
            <w:r w:rsidR="00F858FE" w:rsidRPr="000A08ED">
              <w:rPr>
                <w:rFonts w:asciiTheme="majorHAnsi" w:eastAsia="BatangChe" w:hAnsiTheme="majorHAnsi" w:cs="Times New Roman"/>
              </w:rPr>
              <w:t>issões, Salvador das Missões, Ubiretama, Caibaté, Rolador, Mato Queimado, Sete de Setembro e Entre-Ijuís</w:t>
            </w:r>
            <w:r w:rsidR="00682E44" w:rsidRPr="000A08ED">
              <w:rPr>
                <w:rFonts w:asciiTheme="majorHAnsi" w:eastAsia="BatangChe" w:hAnsiTheme="majorHAnsi" w:cs="Times New Roman"/>
              </w:rPr>
              <w:t>, informando que os mesmos não possuem arquitetos em seus quadros funcionais</w:t>
            </w:r>
            <w:r w:rsidR="00F858FE" w:rsidRPr="000A08ED">
              <w:rPr>
                <w:rFonts w:asciiTheme="majorHAnsi" w:eastAsia="BatangChe" w:hAnsiTheme="majorHAnsi" w:cs="Times New Roman"/>
              </w:rPr>
              <w:t xml:space="preserve">. </w:t>
            </w:r>
            <w:r w:rsidR="00682E44" w:rsidRPr="000A08ED">
              <w:rPr>
                <w:rFonts w:asciiTheme="majorHAnsi" w:eastAsia="BatangChe" w:hAnsiTheme="majorHAnsi" w:cs="Times New Roman"/>
              </w:rPr>
              <w:t xml:space="preserve">O Conselheiro Oritz sugeriu elaboração de quadro com os dados recebidos para comparação com o quadro dos municípios </w:t>
            </w:r>
            <w:r w:rsidR="0043013A">
              <w:rPr>
                <w:rFonts w:asciiTheme="majorHAnsi" w:eastAsia="BatangChe" w:hAnsiTheme="majorHAnsi" w:cs="Times New Roman"/>
              </w:rPr>
              <w:t>já elaborado pela fiscalização</w:t>
            </w:r>
            <w:r w:rsidR="00682E44" w:rsidRPr="000A08ED">
              <w:rPr>
                <w:rFonts w:asciiTheme="majorHAnsi" w:eastAsia="BatangChe" w:hAnsiTheme="majorHAnsi" w:cs="Times New Roman"/>
              </w:rPr>
              <w:t xml:space="preserve">. </w:t>
            </w:r>
            <w:r w:rsidR="004B5FC8">
              <w:rPr>
                <w:rFonts w:asciiTheme="majorHAnsi" w:eastAsia="BatangChe" w:hAnsiTheme="majorHAnsi" w:cs="Times New Roman"/>
              </w:rPr>
              <w:t>Os e</w:t>
            </w:r>
            <w:r w:rsidR="00F858FE" w:rsidRPr="000A08ED">
              <w:rPr>
                <w:rFonts w:asciiTheme="majorHAnsi" w:eastAsia="BatangChe" w:hAnsiTheme="majorHAnsi" w:cs="Times New Roman"/>
              </w:rPr>
              <w:t>-mails solicitando esclarecimentos e posicionamento do CAU</w:t>
            </w:r>
            <w:r w:rsidR="000A08ED">
              <w:rPr>
                <w:rFonts w:asciiTheme="majorHAnsi" w:eastAsia="BatangChe" w:hAnsiTheme="majorHAnsi" w:cs="Times New Roman"/>
              </w:rPr>
              <w:t xml:space="preserve"> a respeito da Resolução 51 </w:t>
            </w:r>
            <w:r w:rsidR="00F858FE" w:rsidRPr="000A08ED">
              <w:rPr>
                <w:rFonts w:asciiTheme="majorHAnsi" w:eastAsia="BatangChe" w:hAnsiTheme="majorHAnsi" w:cs="Times New Roman"/>
              </w:rPr>
              <w:t xml:space="preserve">eram </w:t>
            </w:r>
            <w:r w:rsidR="000A08ED">
              <w:rPr>
                <w:rFonts w:asciiTheme="majorHAnsi" w:eastAsia="BatangChe" w:hAnsiTheme="majorHAnsi" w:cs="Times New Roman"/>
              </w:rPr>
              <w:t xml:space="preserve">na sua maioria </w:t>
            </w:r>
            <w:r w:rsidR="000A08ED" w:rsidRPr="000A08ED">
              <w:rPr>
                <w:rFonts w:asciiTheme="majorHAnsi" w:eastAsia="BatangChe" w:hAnsiTheme="majorHAnsi" w:cs="Times New Roman"/>
              </w:rPr>
              <w:t>de arquitetos, sendo um identificado como representante da P</w:t>
            </w:r>
            <w:r w:rsidR="00F858FE" w:rsidRPr="000A08ED">
              <w:rPr>
                <w:rFonts w:asciiTheme="majorHAnsi" w:eastAsia="BatangChe" w:hAnsiTheme="majorHAnsi" w:cs="Times New Roman"/>
              </w:rPr>
              <w:t>refeitura de Camaquã</w:t>
            </w:r>
            <w:r w:rsidR="000A08ED" w:rsidRPr="000A08ED">
              <w:rPr>
                <w:rFonts w:asciiTheme="majorHAnsi" w:eastAsia="BatangChe" w:hAnsiTheme="majorHAnsi" w:cs="Times New Roman"/>
              </w:rPr>
              <w:t xml:space="preserve">. </w:t>
            </w:r>
            <w:r w:rsidR="00682E44" w:rsidRPr="000A08ED">
              <w:rPr>
                <w:rFonts w:asciiTheme="majorHAnsi" w:eastAsia="BatangChe" w:hAnsiTheme="majorHAnsi" w:cs="Times New Roman"/>
              </w:rPr>
              <w:t xml:space="preserve">A Conselheira Rosana </w:t>
            </w:r>
            <w:r w:rsidR="004B5FC8">
              <w:rPr>
                <w:rFonts w:asciiTheme="majorHAnsi" w:eastAsia="BatangChe" w:hAnsiTheme="majorHAnsi" w:cs="Times New Roman"/>
              </w:rPr>
              <w:t>s</w:t>
            </w:r>
            <w:r w:rsidR="00682E44" w:rsidRPr="000A08ED">
              <w:rPr>
                <w:rFonts w:asciiTheme="majorHAnsi" w:eastAsia="BatangChe" w:hAnsiTheme="majorHAnsi" w:cs="Times New Roman"/>
              </w:rPr>
              <w:t xml:space="preserve">olicitou que fosse elaborado Ofício </w:t>
            </w:r>
            <w:r w:rsidR="00F858FE" w:rsidRPr="000A08ED">
              <w:rPr>
                <w:rFonts w:asciiTheme="majorHAnsi" w:eastAsia="BatangChe" w:hAnsiTheme="majorHAnsi" w:cs="Times New Roman"/>
              </w:rPr>
              <w:t xml:space="preserve">pela Assessoria Jurídica </w:t>
            </w:r>
            <w:r w:rsidR="00682E44" w:rsidRPr="000A08ED">
              <w:rPr>
                <w:rFonts w:asciiTheme="majorHAnsi" w:eastAsia="BatangChe" w:hAnsiTheme="majorHAnsi" w:cs="Times New Roman"/>
              </w:rPr>
              <w:t>manifestando a posição da CEP a respeito do tema</w:t>
            </w:r>
            <w:r w:rsidR="00F858FE" w:rsidRPr="000A08ED">
              <w:rPr>
                <w:rFonts w:asciiTheme="majorHAnsi" w:eastAsia="BatangChe" w:hAnsiTheme="majorHAnsi" w:cs="Times New Roman"/>
              </w:rPr>
              <w:t>,</w:t>
            </w:r>
            <w:r w:rsidR="00682E44" w:rsidRPr="000A08ED">
              <w:rPr>
                <w:rFonts w:asciiTheme="majorHAnsi" w:eastAsia="BatangChe" w:hAnsiTheme="majorHAnsi" w:cs="Times New Roman"/>
              </w:rPr>
              <w:t xml:space="preserve"> </w:t>
            </w:r>
            <w:r w:rsidR="00F858FE" w:rsidRPr="000A08ED">
              <w:rPr>
                <w:rFonts w:asciiTheme="majorHAnsi" w:eastAsia="BatangChe" w:hAnsiTheme="majorHAnsi" w:cs="Times New Roman"/>
              </w:rPr>
              <w:t xml:space="preserve">para revisão na próxima Reunião e </w:t>
            </w:r>
            <w:r w:rsidR="00682E44" w:rsidRPr="000A08ED">
              <w:rPr>
                <w:rFonts w:asciiTheme="majorHAnsi" w:eastAsia="BatangChe" w:hAnsiTheme="majorHAnsi" w:cs="Times New Roman"/>
              </w:rPr>
              <w:t>posterior envio aos interessados.</w:t>
            </w:r>
          </w:p>
          <w:p w:rsidR="0043013A" w:rsidRPr="00682E44" w:rsidRDefault="0043013A" w:rsidP="000A08ED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</w:p>
        </w:tc>
      </w:tr>
      <w:tr w:rsidR="005A300A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682E44" w:rsidP="0043013A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</w:t>
            </w:r>
            <w:r w:rsidR="0043013A">
              <w:rPr>
                <w:rFonts w:asciiTheme="majorHAnsi" w:hAnsiTheme="majorHAnsi" w:cs="Times New Roman"/>
              </w:rPr>
              <w:t>.</w:t>
            </w:r>
            <w:r>
              <w:rPr>
                <w:rFonts w:asciiTheme="majorHAnsi" w:hAnsiTheme="majorHAnsi" w:cs="Times New Roman"/>
              </w:rPr>
              <w:t xml:space="preserve"> Oritz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44" w:rsidRPr="00682E44" w:rsidRDefault="00682E44" w:rsidP="00682E44">
            <w:pPr>
              <w:tabs>
                <w:tab w:val="left" w:pos="296"/>
              </w:tabs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Elaboração de quadro com os dados recebidos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8612E2" w:rsidRDefault="00682E44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  <w:r w:rsidR="000A08ED">
              <w:rPr>
                <w:rFonts w:asciiTheme="majorHAnsi" w:hAnsiTheme="majorHAnsi" w:cs="Times New Roman"/>
              </w:rPr>
              <w:t>, Andréa</w:t>
            </w:r>
          </w:p>
        </w:tc>
      </w:tr>
      <w:tr w:rsidR="00F5630D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0D" w:rsidRPr="00682E44" w:rsidRDefault="007116E8" w:rsidP="00682E4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CEP/RS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30D" w:rsidRPr="00682E44" w:rsidRDefault="0043013A" w:rsidP="00682E4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Recuperação</w:t>
            </w:r>
            <w:r w:rsidR="007116E8">
              <w:rPr>
                <w:rFonts w:asciiTheme="majorHAnsi" w:hAnsiTheme="majorHAnsi" w:cs="Times New Roman"/>
              </w:rPr>
              <w:t xml:space="preserve"> dos quadros já existentes elaborados pela fiscalização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30D" w:rsidRDefault="0043013A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0A597F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97F" w:rsidRPr="00682E44" w:rsidRDefault="00682E44" w:rsidP="0043013A">
            <w:pPr>
              <w:ind w:right="-1"/>
              <w:rPr>
                <w:rFonts w:asciiTheme="majorHAnsi" w:hAnsiTheme="majorHAnsi" w:cs="Times New Roman"/>
              </w:rPr>
            </w:pPr>
            <w:r w:rsidRPr="00682E44">
              <w:rPr>
                <w:rFonts w:asciiTheme="majorHAnsi" w:hAnsiTheme="majorHAnsi" w:cs="Times New Roman"/>
              </w:rPr>
              <w:t>Cons</w:t>
            </w:r>
            <w:r w:rsidR="0043013A">
              <w:rPr>
                <w:rFonts w:asciiTheme="majorHAnsi" w:hAnsiTheme="majorHAnsi" w:cs="Times New Roman"/>
              </w:rPr>
              <w:t>.</w:t>
            </w:r>
            <w:r w:rsidRPr="00682E44">
              <w:rPr>
                <w:rFonts w:asciiTheme="majorHAnsi" w:hAnsiTheme="majorHAnsi" w:cs="Times New Roman"/>
              </w:rPr>
              <w:t xml:space="preserve"> Rosana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7F" w:rsidRPr="00682E44" w:rsidRDefault="00682E44" w:rsidP="00682E44">
            <w:pPr>
              <w:ind w:right="-1"/>
              <w:rPr>
                <w:rFonts w:asciiTheme="majorHAnsi" w:hAnsiTheme="majorHAnsi" w:cs="Times New Roman"/>
              </w:rPr>
            </w:pPr>
            <w:r w:rsidRPr="00682E44">
              <w:rPr>
                <w:rFonts w:asciiTheme="majorHAnsi" w:hAnsiTheme="majorHAnsi" w:cs="Times New Roman"/>
              </w:rPr>
              <w:t>Elaboração de Oficio para envio às prefeituras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97F" w:rsidRPr="008612E2" w:rsidRDefault="00682E44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</w:t>
            </w:r>
          </w:p>
        </w:tc>
      </w:tr>
      <w:tr w:rsidR="00995A81" w:rsidRPr="00AD775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5.</w:t>
            </w:r>
            <w:r w:rsidRPr="008612E2">
              <w:rPr>
                <w:rFonts w:asciiTheme="majorHAnsi" w:hAnsiTheme="majorHAnsi" w:cs="Times New Roman"/>
                <w:b/>
              </w:rPr>
              <w:tab/>
              <w:t>Apreciação da Minuta Deliberação que consolide as deliberações CEP 230/2014 e 120/2015, sobre Licitações;</w:t>
            </w:r>
          </w:p>
        </w:tc>
      </w:tr>
      <w:tr w:rsidR="003F6529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E11F4" w:rsidRDefault="00682E44" w:rsidP="008F1E6B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Assessor Jurídico Mauro apresentou a proposta de deliberação consolidando duas deliberações anteriores da CEP. A Conselheira Rosana questionou se a união não dificultaria a homologação pela plenária. O argumento para a união apresentado é que as deliberações tratam de assuntos muito similares e de procedimentos do setor de fiscalização na análise e impugnação de editais, e esta deliberação </w:t>
            </w:r>
            <w:r w:rsidR="0043013A">
              <w:rPr>
                <w:rFonts w:asciiTheme="majorHAnsi" w:hAnsiTheme="majorHAnsi" w:cs="Times New Roman"/>
              </w:rPr>
              <w:t xml:space="preserve">encaminharia </w:t>
            </w:r>
            <w:r>
              <w:rPr>
                <w:rFonts w:asciiTheme="majorHAnsi" w:hAnsiTheme="majorHAnsi" w:cs="Times New Roman"/>
              </w:rPr>
              <w:t xml:space="preserve">a </w:t>
            </w:r>
            <w:r w:rsidR="0043013A">
              <w:rPr>
                <w:rFonts w:asciiTheme="majorHAnsi" w:hAnsiTheme="majorHAnsi" w:cs="Times New Roman"/>
              </w:rPr>
              <w:t xml:space="preserve">assinatura </w:t>
            </w:r>
            <w:r>
              <w:rPr>
                <w:rFonts w:asciiTheme="majorHAnsi" w:hAnsiTheme="majorHAnsi" w:cs="Times New Roman"/>
              </w:rPr>
              <w:t xml:space="preserve">de portaria da presidência para </w:t>
            </w:r>
            <w:r w:rsidR="00046C27">
              <w:rPr>
                <w:rFonts w:asciiTheme="majorHAnsi" w:hAnsiTheme="majorHAnsi" w:cs="Times New Roman"/>
              </w:rPr>
              <w:t xml:space="preserve">confirmar os procedimentos.  </w:t>
            </w:r>
            <w:r w:rsidR="0043013A">
              <w:rPr>
                <w:rFonts w:asciiTheme="majorHAnsi" w:hAnsiTheme="majorHAnsi" w:cs="Times New Roman"/>
              </w:rPr>
              <w:t xml:space="preserve">Os </w:t>
            </w:r>
            <w:r w:rsidR="00046C27">
              <w:rPr>
                <w:rFonts w:asciiTheme="majorHAnsi" w:hAnsiTheme="majorHAnsi" w:cs="Times New Roman"/>
              </w:rPr>
              <w:t xml:space="preserve">conselheiros sugeriram ajustes na redação e no conteúdo. </w:t>
            </w:r>
            <w:r w:rsidR="0043013A">
              <w:rPr>
                <w:rFonts w:asciiTheme="majorHAnsi" w:hAnsiTheme="majorHAnsi" w:cs="Times New Roman"/>
              </w:rPr>
              <w:t xml:space="preserve">A deliberação foi aprovada pelos presentes, </w:t>
            </w:r>
            <w:r w:rsidR="00046C27">
              <w:rPr>
                <w:rFonts w:asciiTheme="majorHAnsi" w:hAnsiTheme="majorHAnsi" w:cs="Times New Roman"/>
              </w:rPr>
              <w:t>impress</w:t>
            </w:r>
            <w:r w:rsidR="0043013A">
              <w:rPr>
                <w:rFonts w:asciiTheme="majorHAnsi" w:hAnsiTheme="majorHAnsi" w:cs="Times New Roman"/>
              </w:rPr>
              <w:t>a</w:t>
            </w:r>
            <w:r w:rsidR="00046C27">
              <w:rPr>
                <w:rFonts w:asciiTheme="majorHAnsi" w:hAnsiTheme="majorHAnsi" w:cs="Times New Roman"/>
              </w:rPr>
              <w:t xml:space="preserve"> e assina</w:t>
            </w:r>
            <w:r w:rsidR="0043013A">
              <w:rPr>
                <w:rFonts w:asciiTheme="majorHAnsi" w:hAnsiTheme="majorHAnsi" w:cs="Times New Roman"/>
              </w:rPr>
              <w:t>da. D</w:t>
            </w:r>
            <w:r w:rsidR="00046C27">
              <w:rPr>
                <w:rFonts w:asciiTheme="majorHAnsi" w:hAnsiTheme="majorHAnsi" w:cs="Times New Roman"/>
              </w:rPr>
              <w:t xml:space="preserve">efiniu-se encaminhá-la </w:t>
            </w:r>
            <w:r w:rsidR="0043013A">
              <w:rPr>
                <w:rFonts w:asciiTheme="majorHAnsi" w:hAnsiTheme="majorHAnsi" w:cs="Times New Roman"/>
              </w:rPr>
              <w:t>à</w:t>
            </w:r>
            <w:r w:rsidR="00046C27">
              <w:rPr>
                <w:rFonts w:asciiTheme="majorHAnsi" w:hAnsiTheme="majorHAnsi" w:cs="Times New Roman"/>
              </w:rPr>
              <w:t xml:space="preserve"> </w:t>
            </w:r>
            <w:r w:rsidR="0043013A">
              <w:rPr>
                <w:rFonts w:asciiTheme="majorHAnsi" w:hAnsiTheme="majorHAnsi" w:cs="Times New Roman"/>
              </w:rPr>
              <w:t>P</w:t>
            </w:r>
            <w:r w:rsidR="00046C27">
              <w:rPr>
                <w:rFonts w:asciiTheme="majorHAnsi" w:hAnsiTheme="majorHAnsi" w:cs="Times New Roman"/>
              </w:rPr>
              <w:t xml:space="preserve">residência para </w:t>
            </w:r>
            <w:r w:rsidR="0043013A">
              <w:rPr>
                <w:rFonts w:asciiTheme="majorHAnsi" w:hAnsiTheme="majorHAnsi" w:cs="Times New Roman"/>
              </w:rPr>
              <w:t>homologação na</w:t>
            </w:r>
            <w:r w:rsidR="00046C27">
              <w:rPr>
                <w:rFonts w:asciiTheme="majorHAnsi" w:hAnsiTheme="majorHAnsi" w:cs="Times New Roman"/>
              </w:rPr>
              <w:t xml:space="preserve"> próxima plenária.</w:t>
            </w:r>
          </w:p>
          <w:p w:rsidR="0043013A" w:rsidRPr="008612E2" w:rsidRDefault="0043013A" w:rsidP="008F1E6B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995A81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046C27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  <w:r w:rsidR="009759BD">
              <w:rPr>
                <w:rFonts w:asciiTheme="majorHAnsi" w:hAnsiTheme="majorHAnsi" w:cs="Times New Roman"/>
              </w:rPr>
              <w:t>/RS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046C27" w:rsidP="0043013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</w:t>
            </w:r>
            <w:r w:rsidR="0043013A">
              <w:rPr>
                <w:rFonts w:asciiTheme="majorHAnsi" w:hAnsiTheme="majorHAnsi" w:cs="Times New Roman"/>
              </w:rPr>
              <w:t>vio à Presidência para homologação na próxima plenária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AA28C8" w:rsidP="0043013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Secret</w:t>
            </w:r>
            <w:r w:rsidR="0043013A">
              <w:rPr>
                <w:rFonts w:asciiTheme="majorHAnsi" w:hAnsiTheme="majorHAnsi" w:cs="Times New Roman"/>
              </w:rPr>
              <w:t>a</w:t>
            </w:r>
            <w:r>
              <w:rPr>
                <w:rFonts w:asciiTheme="majorHAnsi" w:hAnsiTheme="majorHAnsi" w:cs="Times New Roman"/>
              </w:rPr>
              <w:t>ria</w:t>
            </w:r>
          </w:p>
        </w:tc>
      </w:tr>
      <w:tr w:rsidR="00995A81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6.</w:t>
            </w:r>
            <w:r w:rsidRPr="008612E2">
              <w:rPr>
                <w:rFonts w:asciiTheme="majorHAnsi" w:hAnsiTheme="majorHAnsi" w:cs="Times New Roman"/>
                <w:b/>
              </w:rPr>
              <w:tab/>
              <w:t>Apreciação dos projetos relativos à RDA já analisados pelo CAU/RS</w:t>
            </w:r>
          </w:p>
        </w:tc>
      </w:tr>
      <w:tr w:rsidR="00FB5A03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Default="001B1B96" w:rsidP="001B1B96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 w:rsidRPr="001B1B96">
              <w:rPr>
                <w:rFonts w:asciiTheme="majorHAnsi" w:hAnsiTheme="majorHAnsi"/>
                <w:color w:val="000000"/>
              </w:rPr>
              <w:t xml:space="preserve">Os processos </w:t>
            </w:r>
            <w:r w:rsidR="0043013A">
              <w:rPr>
                <w:rFonts w:asciiTheme="majorHAnsi" w:hAnsiTheme="majorHAnsi"/>
                <w:color w:val="000000"/>
              </w:rPr>
              <w:t xml:space="preserve">de RDA </w:t>
            </w:r>
            <w:r w:rsidRPr="001B1B96">
              <w:rPr>
                <w:rFonts w:asciiTheme="majorHAnsi" w:hAnsiTheme="majorHAnsi"/>
                <w:color w:val="000000"/>
              </w:rPr>
              <w:t>já aprovados pelo CAU/RS foram dados em carga p</w:t>
            </w:r>
            <w:r w:rsidR="004B5FC8">
              <w:rPr>
                <w:rFonts w:asciiTheme="majorHAnsi" w:hAnsiTheme="majorHAnsi"/>
                <w:color w:val="000000"/>
              </w:rPr>
              <w:t xml:space="preserve">ara </w:t>
            </w:r>
            <w:r w:rsidRPr="001B1B96">
              <w:rPr>
                <w:rFonts w:asciiTheme="majorHAnsi" w:hAnsiTheme="majorHAnsi"/>
                <w:color w:val="000000"/>
              </w:rPr>
              <w:t>a Conselheira Rosana para análise. A Conselheira também solicita a listagem d</w:t>
            </w:r>
            <w:r w:rsidR="003D67A3">
              <w:rPr>
                <w:rFonts w:asciiTheme="majorHAnsi" w:hAnsiTheme="majorHAnsi"/>
                <w:color w:val="000000"/>
              </w:rPr>
              <w:t>e todos os processos distribuídos para o CAU/RS</w:t>
            </w:r>
            <w:r w:rsidR="004B5FC8">
              <w:rPr>
                <w:rFonts w:asciiTheme="majorHAnsi" w:hAnsiTheme="majorHAnsi"/>
                <w:color w:val="000000"/>
              </w:rPr>
              <w:t>.</w:t>
            </w:r>
          </w:p>
          <w:p w:rsidR="0043013A" w:rsidRPr="001B1B96" w:rsidRDefault="0043013A" w:rsidP="001B1B96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FB5A03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8612E2" w:rsidRDefault="00FB5A03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FB5A03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8612E2" w:rsidRDefault="00FB5A03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8612E2" w:rsidRDefault="00FB5A03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8612E2" w:rsidRDefault="00FB5A03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B5A03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6472D2" w:rsidRDefault="001B1B96" w:rsidP="001B1B9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472D2">
              <w:rPr>
                <w:rFonts w:asciiTheme="majorHAnsi" w:hAnsiTheme="majorHAnsi" w:cs="Times New Roman"/>
              </w:rPr>
              <w:t>Conselheira Rosana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6472D2" w:rsidRDefault="003D67A3" w:rsidP="003D67A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Apresentar na próxima reunião l</w:t>
            </w:r>
            <w:r w:rsidR="001B1B96" w:rsidRPr="006472D2">
              <w:rPr>
                <w:rFonts w:asciiTheme="majorHAnsi" w:hAnsiTheme="majorHAnsi" w:cs="Times New Roman"/>
              </w:rPr>
              <w:t>istagem d</w:t>
            </w:r>
            <w:r>
              <w:rPr>
                <w:rFonts w:asciiTheme="majorHAnsi" w:hAnsiTheme="majorHAnsi" w:cs="Times New Roman"/>
              </w:rPr>
              <w:t xml:space="preserve">e todos </w:t>
            </w:r>
            <w:r w:rsidR="001B1B96" w:rsidRPr="006472D2">
              <w:rPr>
                <w:rFonts w:asciiTheme="majorHAnsi" w:hAnsiTheme="majorHAnsi" w:cs="Times New Roman"/>
              </w:rPr>
              <w:t xml:space="preserve">os processos de RDA </w:t>
            </w:r>
            <w:r>
              <w:rPr>
                <w:rFonts w:asciiTheme="majorHAnsi" w:hAnsiTheme="majorHAnsi" w:cs="Times New Roman"/>
              </w:rPr>
              <w:t>distribuídos para o CAU/RS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8612E2" w:rsidRDefault="001B1B96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472D2">
              <w:rPr>
                <w:rFonts w:asciiTheme="majorHAnsi" w:hAnsiTheme="majorHAnsi" w:cs="Times New Roman"/>
              </w:rPr>
              <w:t>Rodrigo</w:t>
            </w:r>
          </w:p>
        </w:tc>
      </w:tr>
      <w:tr w:rsidR="00396BA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96BA6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7.</w:t>
            </w:r>
            <w:r w:rsidRPr="008612E2">
              <w:rPr>
                <w:rFonts w:asciiTheme="majorHAnsi" w:hAnsiTheme="majorHAnsi" w:cs="Times New Roman"/>
                <w:b/>
              </w:rPr>
              <w:tab/>
              <w:t xml:space="preserve"> Agendamento de Reunião Extraordinária Exclusiva para Processos e para debate do Manual de Fiscalização do CAU/RS;</w:t>
            </w:r>
          </w:p>
        </w:tc>
      </w:tr>
      <w:tr w:rsidR="00077747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77747" w:rsidRDefault="001B1B96" w:rsidP="001B1B96">
            <w:pPr>
              <w:ind w:right="-1"/>
              <w:rPr>
                <w:rFonts w:asciiTheme="majorHAnsi" w:hAnsiTheme="majorHAnsi" w:cs="Times New Roman"/>
              </w:rPr>
            </w:pPr>
            <w:r w:rsidRPr="001B1B96">
              <w:rPr>
                <w:rFonts w:asciiTheme="majorHAnsi" w:hAnsiTheme="majorHAnsi" w:cs="Times New Roman"/>
              </w:rPr>
              <w:t>Definiu-se data para o dia 07 de julho, terça feira, às 10 horas. Será encaminhada minuta de convocação para o presidente. O Conselheiro Oritz solicita resgatar o</w:t>
            </w:r>
            <w:r w:rsidR="004B5FC8">
              <w:rPr>
                <w:rFonts w:asciiTheme="majorHAnsi" w:hAnsiTheme="majorHAnsi" w:cs="Times New Roman"/>
              </w:rPr>
              <w:t xml:space="preserve"> fluxograma da fiscalização de</w:t>
            </w:r>
            <w:r w:rsidRPr="001B1B96">
              <w:rPr>
                <w:rFonts w:asciiTheme="majorHAnsi" w:hAnsiTheme="majorHAnsi" w:cs="Times New Roman"/>
              </w:rPr>
              <w:t xml:space="preserve"> análise de processos para usar como base de desenvolvimento na reunião.</w:t>
            </w:r>
          </w:p>
          <w:p w:rsidR="007B10D8" w:rsidRPr="001B1B96" w:rsidRDefault="007B10D8" w:rsidP="001B1B96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995A81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B1B96" w:rsidRPr="002A2A40" w:rsidTr="006334F8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B1B96" w:rsidRPr="008612E2" w:rsidRDefault="001B1B96" w:rsidP="006334F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  <w:r w:rsidR="009759BD">
              <w:rPr>
                <w:rFonts w:asciiTheme="majorHAnsi" w:hAnsiTheme="majorHAnsi" w:cs="Times New Roman"/>
              </w:rPr>
              <w:t>/RS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B1B96" w:rsidRPr="008612E2" w:rsidRDefault="001B1B96" w:rsidP="006334F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Agendar próxima reunião extraordinária da CEP</w:t>
            </w:r>
            <w:r w:rsidR="001F1401">
              <w:rPr>
                <w:rFonts w:asciiTheme="majorHAnsi" w:hAnsiTheme="majorHAnsi" w:cs="Times New Roman"/>
              </w:rPr>
              <w:t xml:space="preserve"> para 07/07/2015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B1B96" w:rsidRPr="008612E2" w:rsidRDefault="001B1B96" w:rsidP="006334F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1B1B96" w:rsidRPr="002A2A40" w:rsidTr="006334F8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B1B96" w:rsidRPr="008612E2" w:rsidRDefault="001B1B96" w:rsidP="006334F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 Oritz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B1B96" w:rsidRPr="008612E2" w:rsidRDefault="001B1B96" w:rsidP="008F1E6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Resgatar </w:t>
            </w:r>
            <w:r w:rsidR="008F1E6B">
              <w:rPr>
                <w:rFonts w:asciiTheme="majorHAnsi" w:hAnsiTheme="majorHAnsi" w:cs="Times New Roman"/>
              </w:rPr>
              <w:t>Fluxograma d</w:t>
            </w:r>
            <w:r>
              <w:rPr>
                <w:rFonts w:asciiTheme="majorHAnsi" w:hAnsiTheme="majorHAnsi" w:cs="Times New Roman"/>
              </w:rPr>
              <w:t>a Fiscalização</w:t>
            </w:r>
            <w:r w:rsidR="001F1401">
              <w:rPr>
                <w:rFonts w:asciiTheme="majorHAnsi" w:hAnsiTheme="majorHAnsi" w:cs="Times New Roman"/>
              </w:rPr>
              <w:t>. Pautar para próxima reunião.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B1B96" w:rsidRPr="008612E2" w:rsidRDefault="001B1B96" w:rsidP="006334F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8612E2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8612E2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8.</w:t>
            </w:r>
            <w:r w:rsidRPr="008612E2">
              <w:rPr>
                <w:rFonts w:asciiTheme="majorHAnsi" w:hAnsiTheme="majorHAnsi" w:cs="Times New Roman"/>
                <w:b/>
              </w:rPr>
              <w:tab/>
              <w:t>Consulta 003/2015 - Licitações com Fundações Profundas e contenções: Retorno;</w:t>
            </w:r>
          </w:p>
        </w:tc>
      </w:tr>
      <w:tr w:rsidR="008612E2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Default="001B1B96" w:rsidP="003D67A3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 w:rsidRPr="006F7856">
              <w:rPr>
                <w:rFonts w:asciiTheme="majorHAnsi" w:hAnsiTheme="majorHAnsi"/>
                <w:color w:val="000000"/>
              </w:rPr>
              <w:t>Apresentação das informa</w:t>
            </w:r>
            <w:r w:rsidR="008F1E6B" w:rsidRPr="006F7856">
              <w:rPr>
                <w:rFonts w:asciiTheme="majorHAnsi" w:hAnsiTheme="majorHAnsi"/>
                <w:color w:val="000000"/>
              </w:rPr>
              <w:t>ções definidas pela Lei 8.666: exigência que a empresa possua no quadro permanente, na data de entrega da proposta, um profissional com respectivo acervo, que pode ser limitado à parcela de maior relevância de valor significativo do objeto da licitação. Nestes termos</w:t>
            </w:r>
            <w:r w:rsidR="003D67A3">
              <w:rPr>
                <w:rFonts w:asciiTheme="majorHAnsi" w:hAnsiTheme="majorHAnsi"/>
                <w:color w:val="000000"/>
              </w:rPr>
              <w:t>,</w:t>
            </w:r>
            <w:r w:rsidR="008F1E6B" w:rsidRPr="006F7856">
              <w:rPr>
                <w:rFonts w:asciiTheme="majorHAnsi" w:hAnsiTheme="majorHAnsi"/>
                <w:color w:val="000000"/>
              </w:rPr>
              <w:t xml:space="preserve"> seria possível </w:t>
            </w:r>
            <w:r w:rsidR="003D67A3">
              <w:rPr>
                <w:rFonts w:asciiTheme="majorHAnsi" w:hAnsiTheme="majorHAnsi"/>
                <w:color w:val="000000"/>
              </w:rPr>
              <w:t xml:space="preserve">apresentar atestado sem incluir as fundações, </w:t>
            </w:r>
            <w:r w:rsidR="008F1E6B" w:rsidRPr="006F7856">
              <w:rPr>
                <w:rFonts w:asciiTheme="majorHAnsi" w:hAnsiTheme="majorHAnsi"/>
                <w:color w:val="000000"/>
              </w:rPr>
              <w:t>terceiriza</w:t>
            </w:r>
            <w:r w:rsidR="003D67A3">
              <w:rPr>
                <w:rFonts w:asciiTheme="majorHAnsi" w:hAnsiTheme="majorHAnsi"/>
                <w:color w:val="000000"/>
              </w:rPr>
              <w:t xml:space="preserve">ndo posteriormente esta etapa, </w:t>
            </w:r>
            <w:r w:rsidR="008F1E6B" w:rsidRPr="006F7856">
              <w:rPr>
                <w:rFonts w:asciiTheme="majorHAnsi" w:hAnsiTheme="majorHAnsi"/>
                <w:color w:val="000000"/>
              </w:rPr>
              <w:t xml:space="preserve">ou possuir um profissional habilitado (engenheiro civil) contratado, sem que este fosse necessariamente representante técnico da empresa. Desta maneira estes editais podem ser impugnados pelo CAU/RS. Ficou </w:t>
            </w:r>
            <w:r w:rsidR="00FB13BC" w:rsidRPr="006F7856">
              <w:rPr>
                <w:rFonts w:asciiTheme="majorHAnsi" w:hAnsiTheme="majorHAnsi"/>
                <w:color w:val="000000"/>
              </w:rPr>
              <w:t>definida</w:t>
            </w:r>
            <w:r w:rsidR="008F1E6B" w:rsidRPr="006F7856">
              <w:rPr>
                <w:rFonts w:asciiTheme="majorHAnsi" w:hAnsiTheme="majorHAnsi"/>
                <w:color w:val="000000"/>
              </w:rPr>
              <w:t xml:space="preserve"> a divulgação destas informações ao setor para incorporação</w:t>
            </w:r>
            <w:r w:rsidR="006F7856" w:rsidRPr="006F7856">
              <w:rPr>
                <w:rFonts w:asciiTheme="majorHAnsi" w:hAnsiTheme="majorHAnsi"/>
                <w:color w:val="000000"/>
              </w:rPr>
              <w:t xml:space="preserve"> aos procedimentos.</w:t>
            </w:r>
          </w:p>
          <w:p w:rsidR="007B10D8" w:rsidRPr="008612E2" w:rsidRDefault="007B10D8" w:rsidP="003D67A3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8612E2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8612E2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8612E2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42594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</w:t>
            </w:r>
            <w:r w:rsidR="009759BD">
              <w:rPr>
                <w:rFonts w:asciiTheme="majorHAnsi" w:hAnsiTheme="majorHAnsi" w:cs="Times New Roman"/>
              </w:rPr>
              <w:t>/RS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42594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Incorporar informações aos procedimentos já realizados pelo setor de fiscalização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42594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8612E2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8612E2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9.</w:t>
            </w:r>
            <w:r w:rsidRPr="008612E2">
              <w:rPr>
                <w:rFonts w:asciiTheme="majorHAnsi" w:hAnsiTheme="majorHAnsi" w:cs="Times New Roman"/>
                <w:b/>
              </w:rPr>
              <w:tab/>
              <w:t>Consulta 004/2015 – Obrigatoriedade de Registro de Empresa sem objeto social específico de arquitetura e urbanismo;</w:t>
            </w:r>
          </w:p>
        </w:tc>
      </w:tr>
      <w:tr w:rsidR="008612E2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7026A6" w:rsidP="007026A6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Apresentado </w:t>
            </w:r>
            <w:r w:rsidR="00425948">
              <w:rPr>
                <w:rFonts w:asciiTheme="majorHAnsi" w:hAnsiTheme="majorHAnsi"/>
                <w:color w:val="000000"/>
              </w:rPr>
              <w:t>o memorando elaborado anteriormente pela comissão recomendando ao Presidente Py que encaminhasse ofício solicitando ao CAU/BR elaboração de resolução relativa ao Microempresário.</w:t>
            </w:r>
            <w:r>
              <w:rPr>
                <w:rFonts w:asciiTheme="majorHAnsi" w:hAnsiTheme="majorHAnsi"/>
                <w:color w:val="000000"/>
              </w:rPr>
              <w:t xml:space="preserve"> Definiu-se pelo reenvio do Memorando à presidência. </w:t>
            </w:r>
          </w:p>
        </w:tc>
      </w:tr>
      <w:tr w:rsidR="008612E2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8612E2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8612E2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6F7856" w:rsidRDefault="0042594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F7856">
              <w:rPr>
                <w:rFonts w:asciiTheme="majorHAnsi" w:hAnsiTheme="majorHAnsi" w:cs="Times New Roman"/>
              </w:rPr>
              <w:t>CEP</w:t>
            </w:r>
            <w:r w:rsidR="009759BD">
              <w:rPr>
                <w:rFonts w:asciiTheme="majorHAnsi" w:hAnsiTheme="majorHAnsi" w:cs="Times New Roman"/>
              </w:rPr>
              <w:t>/RS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6F7856" w:rsidRDefault="00425948" w:rsidP="00555359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F7856">
              <w:rPr>
                <w:rFonts w:asciiTheme="majorHAnsi" w:hAnsiTheme="majorHAnsi" w:cs="Times New Roman"/>
              </w:rPr>
              <w:t xml:space="preserve">Reencaminhar Memorando à </w:t>
            </w:r>
            <w:r w:rsidR="006F7856" w:rsidRPr="006F7856">
              <w:rPr>
                <w:rFonts w:asciiTheme="majorHAnsi" w:hAnsiTheme="majorHAnsi" w:cs="Times New Roman"/>
              </w:rPr>
              <w:t>P</w:t>
            </w:r>
            <w:r w:rsidRPr="006F7856">
              <w:rPr>
                <w:rFonts w:asciiTheme="majorHAnsi" w:hAnsiTheme="majorHAnsi" w:cs="Times New Roman"/>
              </w:rPr>
              <w:t>residência</w:t>
            </w:r>
            <w:r w:rsidR="006F7856" w:rsidRPr="006F7856">
              <w:rPr>
                <w:rFonts w:asciiTheme="majorHAnsi" w:hAnsiTheme="majorHAnsi" w:cs="Times New Roman"/>
              </w:rPr>
              <w:t xml:space="preserve">. 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42594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F7856">
              <w:rPr>
                <w:rFonts w:asciiTheme="majorHAnsi" w:hAnsiTheme="majorHAnsi" w:cs="Times New Roman"/>
              </w:rPr>
              <w:t>Rodrigo</w:t>
            </w:r>
          </w:p>
        </w:tc>
      </w:tr>
      <w:tr w:rsidR="008612E2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8612E2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10.</w:t>
            </w:r>
            <w:r w:rsidRPr="008612E2">
              <w:rPr>
                <w:rFonts w:asciiTheme="majorHAnsi" w:hAnsiTheme="majorHAnsi" w:cs="Times New Roman"/>
                <w:b/>
              </w:rPr>
              <w:tab/>
              <w:t xml:space="preserve"> Deliberação – Interrupção de registro profissional e empresarial;</w:t>
            </w:r>
          </w:p>
        </w:tc>
      </w:tr>
      <w:tr w:rsidR="008612E2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Default="00997EF8" w:rsidP="003D67A3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 w:rsidRPr="00997EF8">
              <w:rPr>
                <w:rFonts w:asciiTheme="majorHAnsi" w:hAnsiTheme="majorHAnsi"/>
                <w:color w:val="000000"/>
              </w:rPr>
              <w:t>Apresentação da orientação jurídica para interrupção de registro de pessoas físicas e jurídicas</w:t>
            </w:r>
            <w:r w:rsidR="003D67A3">
              <w:rPr>
                <w:rFonts w:asciiTheme="majorHAnsi" w:hAnsiTheme="majorHAnsi"/>
                <w:color w:val="000000"/>
              </w:rPr>
              <w:t xml:space="preserve"> junto ao CAU, em função da carên</w:t>
            </w:r>
            <w:r w:rsidRPr="00997EF8">
              <w:rPr>
                <w:rFonts w:asciiTheme="majorHAnsi" w:hAnsiTheme="majorHAnsi"/>
                <w:color w:val="000000"/>
              </w:rPr>
              <w:t xml:space="preserve">cia de prazo para indeferimento. </w:t>
            </w:r>
            <w:r w:rsidR="00425948" w:rsidRPr="00997EF8">
              <w:rPr>
                <w:rFonts w:asciiTheme="majorHAnsi" w:hAnsiTheme="majorHAnsi"/>
                <w:color w:val="000000"/>
              </w:rPr>
              <w:t xml:space="preserve">Conselheiro Oritz questiona se não seria necessária uma manifestação nacional a este respeito e sugere ofício consultando o CAU/BR. </w:t>
            </w:r>
            <w:r>
              <w:rPr>
                <w:rFonts w:asciiTheme="majorHAnsi" w:hAnsiTheme="majorHAnsi"/>
                <w:color w:val="000000"/>
              </w:rPr>
              <w:t>Por se trata de procedimentos internos, o</w:t>
            </w:r>
            <w:r w:rsidR="00425948" w:rsidRPr="00997EF8">
              <w:rPr>
                <w:rFonts w:asciiTheme="majorHAnsi" w:hAnsiTheme="majorHAnsi"/>
                <w:color w:val="000000"/>
              </w:rPr>
              <w:t>s conselheiros definiram solicitar ao Assessor Jurídico Mauro análise sobre a necessidade de lastro d</w:t>
            </w:r>
            <w:r w:rsidR="007026A6" w:rsidRPr="00997EF8">
              <w:rPr>
                <w:rFonts w:asciiTheme="majorHAnsi" w:hAnsiTheme="majorHAnsi"/>
                <w:color w:val="000000"/>
              </w:rPr>
              <w:t>o</w:t>
            </w:r>
            <w:r w:rsidR="00425948" w:rsidRPr="00997EF8">
              <w:rPr>
                <w:rFonts w:asciiTheme="majorHAnsi" w:hAnsiTheme="majorHAnsi"/>
                <w:color w:val="000000"/>
              </w:rPr>
              <w:t xml:space="preserve"> CAU/BR e, caso não seja necessário, elaborar deliberação da CEP sobre o assunto.</w:t>
            </w:r>
          </w:p>
          <w:p w:rsidR="007B10D8" w:rsidRPr="008612E2" w:rsidRDefault="007B10D8" w:rsidP="003D67A3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8612E2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8612E2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8612E2" w:rsidRPr="006472D2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6472D2" w:rsidRDefault="0042594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472D2">
              <w:rPr>
                <w:rFonts w:asciiTheme="majorHAnsi" w:hAnsiTheme="majorHAnsi" w:cs="Times New Roman"/>
              </w:rPr>
              <w:t>CEP</w:t>
            </w:r>
            <w:r w:rsidR="009759BD">
              <w:rPr>
                <w:rFonts w:asciiTheme="majorHAnsi" w:hAnsiTheme="majorHAnsi" w:cs="Times New Roman"/>
              </w:rPr>
              <w:t>/RS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6472D2" w:rsidRDefault="0042594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472D2">
              <w:rPr>
                <w:rFonts w:asciiTheme="majorHAnsi" w:hAnsiTheme="majorHAnsi" w:cs="Times New Roman"/>
              </w:rPr>
              <w:t>Análise necessidade de lastro do CAU/BR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6472D2" w:rsidRDefault="0042594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472D2">
              <w:rPr>
                <w:rFonts w:asciiTheme="majorHAnsi" w:hAnsiTheme="majorHAnsi" w:cs="Times New Roman"/>
              </w:rPr>
              <w:t>Mauro</w:t>
            </w:r>
          </w:p>
        </w:tc>
      </w:tr>
      <w:tr w:rsidR="00425948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25948" w:rsidRPr="006472D2" w:rsidRDefault="0042594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472D2">
              <w:rPr>
                <w:rFonts w:asciiTheme="majorHAnsi" w:hAnsiTheme="majorHAnsi" w:cs="Times New Roman"/>
              </w:rPr>
              <w:t>CEP</w:t>
            </w:r>
            <w:r w:rsidR="009759BD">
              <w:rPr>
                <w:rFonts w:asciiTheme="majorHAnsi" w:hAnsiTheme="majorHAnsi" w:cs="Times New Roman"/>
              </w:rPr>
              <w:t>/RS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25948" w:rsidRPr="006472D2" w:rsidRDefault="00425948" w:rsidP="00D84809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472D2">
              <w:rPr>
                <w:rFonts w:asciiTheme="majorHAnsi" w:hAnsiTheme="majorHAnsi" w:cs="Times New Roman"/>
              </w:rPr>
              <w:t>Minuta Deliberação da CEP definindo prazo para indeferimento do pedido</w:t>
            </w:r>
            <w:r w:rsidR="00D84809" w:rsidRPr="006472D2">
              <w:rPr>
                <w:rFonts w:asciiTheme="majorHAnsi" w:hAnsiTheme="majorHAnsi" w:cs="Times New Roman"/>
              </w:rPr>
              <w:t>, pautada para a próxima reunião.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25948" w:rsidRDefault="0042594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6472D2">
              <w:rPr>
                <w:rFonts w:asciiTheme="majorHAnsi" w:hAnsiTheme="majorHAnsi" w:cs="Times New Roman"/>
              </w:rPr>
              <w:t>Mauro</w:t>
            </w:r>
          </w:p>
        </w:tc>
      </w:tr>
      <w:tr w:rsidR="008612E2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8612E2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11.</w:t>
            </w:r>
            <w:r w:rsidRPr="008612E2">
              <w:rPr>
                <w:rFonts w:asciiTheme="majorHAnsi" w:hAnsiTheme="majorHAnsi" w:cs="Times New Roman"/>
                <w:b/>
              </w:rPr>
              <w:tab/>
            </w:r>
            <w:r w:rsidR="00997EF8">
              <w:rPr>
                <w:rFonts w:asciiTheme="majorHAnsi" w:hAnsiTheme="majorHAnsi" w:cs="Times New Roman"/>
                <w:b/>
              </w:rPr>
              <w:t xml:space="preserve"> </w:t>
            </w:r>
            <w:r w:rsidRPr="008612E2">
              <w:rPr>
                <w:rFonts w:asciiTheme="majorHAnsi" w:hAnsiTheme="majorHAnsi" w:cs="Times New Roman"/>
                <w:b/>
              </w:rPr>
              <w:t>Apresentação das decisões da Justiça Federal envolvendo fiscalização como a do CAU/RS; (Assessor Jurídico Mauro)</w:t>
            </w:r>
          </w:p>
        </w:tc>
      </w:tr>
      <w:tr w:rsidR="00440CAF" w:rsidRPr="00440CAF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7EF8" w:rsidRPr="003268CD" w:rsidRDefault="00425948" w:rsidP="008612E2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3268CD">
              <w:rPr>
                <w:rFonts w:asciiTheme="majorHAnsi" w:hAnsiTheme="majorHAnsi"/>
              </w:rPr>
              <w:t xml:space="preserve">O Assessor Jurídico Mauro apresentou dois relatos de decisões da Justiça Federal sobre fiscalização de atividades. </w:t>
            </w:r>
          </w:p>
          <w:p w:rsidR="008612E2" w:rsidRPr="003268CD" w:rsidRDefault="00425948" w:rsidP="00F067F6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3268CD">
              <w:rPr>
                <w:rFonts w:asciiTheme="majorHAnsi" w:hAnsiTheme="majorHAnsi"/>
              </w:rPr>
              <w:t xml:space="preserve">O primeiro relato trata de </w:t>
            </w:r>
            <w:r w:rsidR="00997EF8" w:rsidRPr="003268CD">
              <w:rPr>
                <w:rFonts w:asciiTheme="majorHAnsi" w:hAnsiTheme="majorHAnsi"/>
              </w:rPr>
              <w:t>empresa autuada pelo CREA, antes da criação do CAU, por ter em seu objeto social atividades ligadas à arquitetura e ao urbanismo. A Empresa removeu as atividades de loteamento e construção de edifícios mas manteve incorporação imobiliária. A d</w:t>
            </w:r>
            <w:r w:rsidRPr="003268CD">
              <w:rPr>
                <w:rFonts w:asciiTheme="majorHAnsi" w:hAnsiTheme="majorHAnsi"/>
              </w:rPr>
              <w:t>ecisão judicial</w:t>
            </w:r>
            <w:r w:rsidR="00440CAF" w:rsidRPr="003268CD">
              <w:rPr>
                <w:rFonts w:asciiTheme="majorHAnsi" w:hAnsiTheme="majorHAnsi"/>
              </w:rPr>
              <w:t xml:space="preserve"> defini</w:t>
            </w:r>
            <w:r w:rsidR="00997EF8" w:rsidRPr="003268CD">
              <w:rPr>
                <w:rFonts w:asciiTheme="majorHAnsi" w:hAnsiTheme="majorHAnsi"/>
              </w:rPr>
              <w:t>u</w:t>
            </w:r>
            <w:r w:rsidR="00F067F6" w:rsidRPr="003268CD">
              <w:rPr>
                <w:rFonts w:asciiTheme="majorHAnsi" w:hAnsiTheme="majorHAnsi"/>
              </w:rPr>
              <w:t xml:space="preserve">, analisando as atividades listadas na Lei, </w:t>
            </w:r>
            <w:r w:rsidR="00440CAF" w:rsidRPr="003268CD">
              <w:rPr>
                <w:rFonts w:asciiTheme="majorHAnsi" w:hAnsiTheme="majorHAnsi"/>
              </w:rPr>
              <w:t xml:space="preserve">que </w:t>
            </w:r>
            <w:r w:rsidR="00997EF8" w:rsidRPr="003268CD">
              <w:rPr>
                <w:rFonts w:asciiTheme="majorHAnsi" w:hAnsiTheme="majorHAnsi"/>
              </w:rPr>
              <w:t xml:space="preserve">a atividade de </w:t>
            </w:r>
            <w:r w:rsidR="00440CAF" w:rsidRPr="003268CD">
              <w:rPr>
                <w:rFonts w:asciiTheme="majorHAnsi" w:hAnsiTheme="majorHAnsi"/>
              </w:rPr>
              <w:t>incorporação imobiliária</w:t>
            </w:r>
            <w:r w:rsidR="00F067F6" w:rsidRPr="003268CD">
              <w:rPr>
                <w:rFonts w:asciiTheme="majorHAnsi" w:hAnsiTheme="majorHAnsi"/>
              </w:rPr>
              <w:t xml:space="preserve"> indireta, nos casos em que o incorporador</w:t>
            </w:r>
            <w:r w:rsidR="004B5FC8">
              <w:rPr>
                <w:rFonts w:asciiTheme="majorHAnsi" w:hAnsiTheme="majorHAnsi"/>
              </w:rPr>
              <w:t xml:space="preserve"> contrata uma construtora, não geraria</w:t>
            </w:r>
            <w:r w:rsidR="00F067F6" w:rsidRPr="003268CD">
              <w:rPr>
                <w:rFonts w:asciiTheme="majorHAnsi" w:hAnsiTheme="majorHAnsi"/>
              </w:rPr>
              <w:t xml:space="preserve"> necessidade de registro no Conselho. O Assessor alertou que a decisão afirmava ser insuficiente a existência da atividade apena no objeto social para aplicação de multa, sendo necessária a comprovação da efetiva realização da atividade. Deste modo, pela redação atual da Resolução 22, Art. 35, incisos X e XI, a multa apenas seria válida se a empresa estivesse exercendo os serviços. Caberia correção da referida Resolução prevendo enquadramento também para objetivos sociais afetos. </w:t>
            </w:r>
            <w:r w:rsidR="00560D48" w:rsidRPr="003268CD">
              <w:rPr>
                <w:rFonts w:asciiTheme="majorHAnsi" w:hAnsiTheme="majorHAnsi"/>
              </w:rPr>
              <w:t xml:space="preserve"> A tese proposta pelo Assessor Mauro é que, segundo o Art. 7° da Lei 12.378, apenas a oferta dos serviços de arquitetura já caracterizaria o exercício ilegal.</w:t>
            </w:r>
            <w:r w:rsidR="003268CD" w:rsidRPr="003268CD">
              <w:rPr>
                <w:rFonts w:asciiTheme="majorHAnsi" w:hAnsiTheme="majorHAnsi"/>
              </w:rPr>
              <w:t xml:space="preserve"> Definiu-se elaborar ofício com sugestão de alteração no texto da Resolução 22.</w:t>
            </w:r>
          </w:p>
          <w:p w:rsidR="00560D48" w:rsidRDefault="00560D48" w:rsidP="003D67A3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3D67A3">
              <w:rPr>
                <w:rFonts w:asciiTheme="majorHAnsi" w:hAnsiTheme="majorHAnsi"/>
              </w:rPr>
              <w:t>O segundo relato</w:t>
            </w:r>
            <w:r w:rsidR="003268CD" w:rsidRPr="003D67A3">
              <w:rPr>
                <w:rFonts w:asciiTheme="majorHAnsi" w:hAnsiTheme="majorHAnsi"/>
              </w:rPr>
              <w:t xml:space="preserve"> trata de decisão </w:t>
            </w:r>
            <w:r w:rsidR="003D67A3" w:rsidRPr="003D67A3">
              <w:rPr>
                <w:rFonts w:asciiTheme="majorHAnsi" w:hAnsiTheme="majorHAnsi"/>
              </w:rPr>
              <w:t xml:space="preserve">em primeira instância da Justiça Federal no Rio Grande do Sul,  de </w:t>
            </w:r>
            <w:r w:rsidR="003268CD" w:rsidRPr="003D67A3">
              <w:rPr>
                <w:rFonts w:asciiTheme="majorHAnsi" w:hAnsiTheme="majorHAnsi"/>
              </w:rPr>
              <w:t xml:space="preserve">que </w:t>
            </w:r>
            <w:r w:rsidR="003D67A3" w:rsidRPr="003D67A3">
              <w:rPr>
                <w:rFonts w:asciiTheme="majorHAnsi" w:hAnsiTheme="majorHAnsi"/>
              </w:rPr>
              <w:t>atividades de arquitetura efêmera destinada a estandes em feiras</w:t>
            </w:r>
            <w:r w:rsidR="003268CD" w:rsidRPr="003D67A3">
              <w:rPr>
                <w:rFonts w:asciiTheme="majorHAnsi" w:hAnsiTheme="majorHAnsi"/>
              </w:rPr>
              <w:t xml:space="preserve"> não necessitaria</w:t>
            </w:r>
            <w:r w:rsidR="003D67A3" w:rsidRPr="003D67A3">
              <w:rPr>
                <w:rFonts w:asciiTheme="majorHAnsi" w:hAnsiTheme="majorHAnsi"/>
              </w:rPr>
              <w:t>m</w:t>
            </w:r>
            <w:r w:rsidR="003268CD" w:rsidRPr="003D67A3">
              <w:rPr>
                <w:rFonts w:asciiTheme="majorHAnsi" w:hAnsiTheme="majorHAnsi"/>
              </w:rPr>
              <w:t xml:space="preserve"> de </w:t>
            </w:r>
            <w:r w:rsidR="003D67A3" w:rsidRPr="003D67A3">
              <w:rPr>
                <w:rFonts w:asciiTheme="majorHAnsi" w:hAnsiTheme="majorHAnsi"/>
              </w:rPr>
              <w:t>responsável técnico ou registro no CAU, embora exista uma decisão em São Paulo sobre a responsabilidade pelo desabamento em uma feira</w:t>
            </w:r>
            <w:r w:rsidR="00EF4DEC">
              <w:rPr>
                <w:rFonts w:asciiTheme="majorHAnsi" w:hAnsiTheme="majorHAnsi"/>
              </w:rPr>
              <w:t>,</w:t>
            </w:r>
            <w:r w:rsidR="003D67A3" w:rsidRPr="003D67A3">
              <w:rPr>
                <w:rFonts w:asciiTheme="majorHAnsi" w:hAnsiTheme="majorHAnsi"/>
              </w:rPr>
              <w:t xml:space="preserve"> de que aquela atividade obrigatoriamente exija responsável técnico habilitado.</w:t>
            </w:r>
          </w:p>
          <w:p w:rsidR="007B10D8" w:rsidRPr="00440CAF" w:rsidRDefault="007B10D8" w:rsidP="003D67A3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</w:p>
        </w:tc>
      </w:tr>
      <w:tr w:rsidR="008612E2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8612E2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20164" w:rsidRPr="002A2A40" w:rsidTr="00920164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64" w:rsidRPr="00682E44" w:rsidRDefault="00920164" w:rsidP="00DD435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CEP/RS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164" w:rsidRPr="00682E44" w:rsidRDefault="00920164" w:rsidP="00DD435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Elaboração de Ofício com sugestão de alteração no texto da Resolução 22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164" w:rsidRDefault="00920164" w:rsidP="00DD435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</w:t>
            </w:r>
          </w:p>
        </w:tc>
      </w:tr>
      <w:tr w:rsidR="008612E2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8612E2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12.</w:t>
            </w:r>
            <w:r w:rsidRPr="008612E2">
              <w:rPr>
                <w:rFonts w:asciiTheme="majorHAnsi" w:hAnsiTheme="majorHAnsi" w:cs="Times New Roman"/>
                <w:b/>
              </w:rPr>
              <w:tab/>
              <w:t xml:space="preserve"> Análise de processos:</w:t>
            </w:r>
          </w:p>
        </w:tc>
      </w:tr>
      <w:tr w:rsidR="008612E2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FB13BC">
            <w:pPr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8612E2">
              <w:rPr>
                <w:rFonts w:asciiTheme="majorHAnsi" w:eastAsia="Times New Roman" w:hAnsiTheme="majorHAnsi"/>
                <w:b/>
                <w:i/>
                <w:color w:val="000000"/>
              </w:rPr>
              <w:t>Processos da Unidade de Fiscalização:</w:t>
            </w:r>
          </w:p>
          <w:p w:rsidR="00FB13BC" w:rsidRPr="00342AF2" w:rsidRDefault="00FB13BC" w:rsidP="00FB13BC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342AF2">
              <w:rPr>
                <w:rFonts w:asciiTheme="majorHAnsi" w:eastAsia="Times New Roman" w:hAnsiTheme="majorHAnsi"/>
              </w:rPr>
              <w:t>Processo administrativo 1000005611/2014 – Cond. Residencial Ado Malagoli – Despacho: “Conforme Parecer Jurídico</w:t>
            </w:r>
            <w:r>
              <w:rPr>
                <w:rFonts w:asciiTheme="majorHAnsi" w:eastAsia="Times New Roman" w:hAnsiTheme="majorHAnsi"/>
              </w:rPr>
              <w:t>,</w:t>
            </w:r>
            <w:r w:rsidRPr="00342AF2">
              <w:rPr>
                <w:rFonts w:asciiTheme="majorHAnsi" w:eastAsia="Times New Roman" w:hAnsiTheme="majorHAnsi"/>
              </w:rPr>
              <w:t xml:space="preserve"> solicito</w:t>
            </w:r>
            <w:r>
              <w:rPr>
                <w:rFonts w:asciiTheme="majorHAnsi" w:eastAsia="Times New Roman" w:hAnsiTheme="majorHAnsi"/>
              </w:rPr>
              <w:t xml:space="preserve"> o arquivamento do processo”.</w:t>
            </w:r>
          </w:p>
          <w:p w:rsidR="00FB13BC" w:rsidRPr="00342AF2" w:rsidRDefault="00FB13BC" w:rsidP="00FB13BC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</w:rPr>
            </w:pPr>
            <w:r w:rsidRPr="00342AF2">
              <w:rPr>
                <w:rFonts w:asciiTheme="majorHAnsi" w:hAnsiTheme="majorHAnsi"/>
              </w:rPr>
              <w:t>Processo administrativo nº 1000014701/2015 – Marcelo Freitas Ferreira</w:t>
            </w:r>
            <w:r w:rsidRPr="00342AF2">
              <w:rPr>
                <w:rFonts w:asciiTheme="majorHAnsi" w:eastAsia="Times New Roman" w:hAnsiTheme="majorHAnsi"/>
              </w:rPr>
              <w:t xml:space="preserve"> – Despacho: “Dar conhecimento ao denunciante da defesa do denunciado para manifestaç</w:t>
            </w:r>
            <w:r>
              <w:rPr>
                <w:rFonts w:asciiTheme="majorHAnsi" w:eastAsia="Times New Roman" w:hAnsiTheme="majorHAnsi"/>
              </w:rPr>
              <w:t>ão e retornar a esta Comissão”.</w:t>
            </w:r>
          </w:p>
          <w:p w:rsidR="00FB13BC" w:rsidRPr="00342AF2" w:rsidRDefault="00FB13BC" w:rsidP="00FB13BC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jc w:val="both"/>
              <w:rPr>
                <w:rFonts w:asciiTheme="majorHAnsi" w:hAnsiTheme="majorHAnsi"/>
              </w:rPr>
            </w:pPr>
            <w:r w:rsidRPr="00342AF2">
              <w:rPr>
                <w:rFonts w:asciiTheme="majorHAnsi" w:hAnsiTheme="majorHAnsi"/>
              </w:rPr>
              <w:t xml:space="preserve">Processo administrativo nº 1000016503/2015 – Ana Cláudia Maffissoni </w:t>
            </w:r>
            <w:r w:rsidRPr="00342AF2">
              <w:rPr>
                <w:rFonts w:asciiTheme="majorHAnsi" w:eastAsia="Times New Roman" w:hAnsiTheme="majorHAnsi"/>
              </w:rPr>
              <w:t>– Despacho: “Arquive-se o presente processo por estare</w:t>
            </w:r>
            <w:r>
              <w:rPr>
                <w:rFonts w:asciiTheme="majorHAnsi" w:eastAsia="Times New Roman" w:hAnsiTheme="majorHAnsi"/>
              </w:rPr>
              <w:t>m atendidas as irregularidades”.</w:t>
            </w:r>
          </w:p>
          <w:p w:rsidR="00FB13BC" w:rsidRPr="00342AF2" w:rsidRDefault="00FB13BC" w:rsidP="00FB13BC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342AF2">
              <w:rPr>
                <w:rFonts w:asciiTheme="majorHAnsi" w:hAnsiTheme="majorHAnsi"/>
              </w:rPr>
              <w:t>Processo administrativo nº 1000016706/2015 – Nathalia Kr</w:t>
            </w:r>
            <w:r>
              <w:rPr>
                <w:rFonts w:asciiTheme="majorHAnsi" w:hAnsiTheme="majorHAnsi"/>
              </w:rPr>
              <w:t>ü</w:t>
            </w:r>
            <w:r w:rsidRPr="00342AF2">
              <w:rPr>
                <w:rFonts w:asciiTheme="majorHAnsi" w:hAnsiTheme="majorHAnsi"/>
              </w:rPr>
              <w:t>ger e Daniele Rocha</w:t>
            </w:r>
            <w:r w:rsidRPr="00342AF2">
              <w:rPr>
                <w:rFonts w:asciiTheme="majorHAnsi" w:eastAsia="Times New Roman" w:hAnsiTheme="majorHAnsi"/>
              </w:rPr>
              <w:t xml:space="preserve"> – Despacho: “Solicito a correção no primeiro parágrafo onde diz “despacho da coordenadora adjunta da CEP/RS em 19/02/2015 (Fl. 11) para “despacho da coordenadora adjunta </w:t>
            </w:r>
            <w:r w:rsidRPr="00342AF2">
              <w:rPr>
                <w:rFonts w:asciiTheme="majorHAnsi" w:eastAsia="Times New Roman" w:hAnsiTheme="majorHAnsi"/>
                <w:i/>
              </w:rPr>
              <w:t>ad hoc</w:t>
            </w:r>
            <w:r>
              <w:rPr>
                <w:rFonts w:asciiTheme="majorHAnsi" w:eastAsia="Times New Roman" w:hAnsiTheme="majorHAnsi"/>
                <w:i/>
              </w:rPr>
              <w:t>.</w:t>
            </w:r>
            <w:r w:rsidRPr="00342AF2">
              <w:rPr>
                <w:rFonts w:asciiTheme="majorHAnsi" w:eastAsia="Times New Roman" w:hAnsiTheme="majorHAnsi"/>
                <w:i/>
              </w:rPr>
              <w:t>”</w:t>
            </w:r>
            <w:r w:rsidRPr="00342AF2">
              <w:rPr>
                <w:rFonts w:asciiTheme="majorHAnsi" w:eastAsia="Times New Roman" w:hAnsiTheme="majorHAnsi"/>
              </w:rPr>
              <w:t xml:space="preserve"> Encaminhar para a assessoria Jurídica para análise e manifestação para subsidiar rela</w:t>
            </w:r>
            <w:r>
              <w:rPr>
                <w:rFonts w:asciiTheme="majorHAnsi" w:eastAsia="Times New Roman" w:hAnsiTheme="majorHAnsi"/>
              </w:rPr>
              <w:t>to da CEP e para procedimentos”.</w:t>
            </w:r>
          </w:p>
          <w:p w:rsidR="00FB13BC" w:rsidRPr="00342AF2" w:rsidRDefault="00FB13BC" w:rsidP="00FB13BC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342AF2">
              <w:rPr>
                <w:rFonts w:asciiTheme="majorHAnsi" w:hAnsiTheme="majorHAnsi"/>
              </w:rPr>
              <w:t xml:space="preserve">Processo administrativo nº 1000018150/2015 – Visarte (apenso ao Processo administrativo nº 1000005331/2014) </w:t>
            </w:r>
            <w:r w:rsidRPr="00342AF2">
              <w:rPr>
                <w:rFonts w:asciiTheme="majorHAnsi" w:eastAsia="Times New Roman" w:hAnsiTheme="majorHAnsi"/>
              </w:rPr>
              <w:t>– Despacho: “Encaminho para Assessoria Jur</w:t>
            </w:r>
            <w:r>
              <w:rPr>
                <w:rFonts w:asciiTheme="majorHAnsi" w:eastAsia="Times New Roman" w:hAnsiTheme="majorHAnsi"/>
              </w:rPr>
              <w:t>ídica para análise e apreciação</w:t>
            </w:r>
            <w:r w:rsidRPr="00342AF2">
              <w:rPr>
                <w:rFonts w:asciiTheme="majorHAnsi" w:eastAsia="Times New Roman" w:hAnsiTheme="majorHAnsi"/>
              </w:rPr>
              <w:t>”</w:t>
            </w:r>
            <w:r>
              <w:rPr>
                <w:rFonts w:asciiTheme="majorHAnsi" w:eastAsia="Times New Roman" w:hAnsiTheme="majorHAnsi"/>
              </w:rPr>
              <w:t>.</w:t>
            </w:r>
          </w:p>
          <w:p w:rsidR="00FB13BC" w:rsidRPr="00342AF2" w:rsidRDefault="00FB13BC" w:rsidP="00FB13BC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hAnsiTheme="majorHAnsi"/>
              </w:rPr>
            </w:pPr>
            <w:r w:rsidRPr="00342AF2">
              <w:rPr>
                <w:rFonts w:asciiTheme="majorHAnsi" w:hAnsiTheme="majorHAnsi"/>
              </w:rPr>
              <w:t>Processo administrativo nº 1000021633/2015 – Leandro Djalma de Almeida Passos</w:t>
            </w:r>
            <w:r w:rsidRPr="00342AF2">
              <w:rPr>
                <w:rFonts w:asciiTheme="majorHAnsi" w:eastAsia="Times New Roman" w:hAnsiTheme="majorHAnsi"/>
              </w:rPr>
              <w:t xml:space="preserve"> – Despacho: “Arquive-se o presente processo por estarem atendidas as irregularidades dentro do </w:t>
            </w:r>
            <w:r>
              <w:rPr>
                <w:rFonts w:asciiTheme="majorHAnsi" w:eastAsia="Times New Roman" w:hAnsiTheme="majorHAnsi"/>
              </w:rPr>
              <w:t>prazo de notificação preventiva</w:t>
            </w:r>
            <w:r w:rsidRPr="00342AF2">
              <w:rPr>
                <w:rFonts w:asciiTheme="majorHAnsi" w:eastAsia="Times New Roman" w:hAnsiTheme="majorHAnsi"/>
              </w:rPr>
              <w:t>”</w:t>
            </w:r>
            <w:r>
              <w:rPr>
                <w:rFonts w:asciiTheme="majorHAnsi" w:eastAsia="Times New Roman" w:hAnsiTheme="majorHAnsi"/>
              </w:rPr>
              <w:t>.</w:t>
            </w:r>
          </w:p>
          <w:p w:rsidR="00FB13BC" w:rsidRPr="008612E2" w:rsidRDefault="008612E2" w:rsidP="00FB13BC">
            <w:pPr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8612E2">
              <w:rPr>
                <w:rFonts w:asciiTheme="majorHAnsi" w:eastAsia="Times New Roman" w:hAnsiTheme="majorHAnsi"/>
                <w:b/>
                <w:i/>
                <w:color w:val="000000"/>
              </w:rPr>
              <w:t>Denúncias:</w:t>
            </w:r>
            <w:r w:rsidR="00FB13BC">
              <w:rPr>
                <w:rFonts w:asciiTheme="majorHAnsi" w:eastAsia="Times New Roman" w:hAnsiTheme="majorHAnsi"/>
                <w:b/>
                <w:i/>
                <w:color w:val="000000"/>
              </w:rPr>
              <w:t xml:space="preserve"> </w:t>
            </w:r>
            <w:r w:rsidR="00FB13BC" w:rsidRPr="00342AF2">
              <w:rPr>
                <w:rFonts w:asciiTheme="majorHAnsi" w:eastAsia="Times New Roman" w:hAnsiTheme="majorHAnsi"/>
                <w:b/>
              </w:rPr>
              <w:t>As denúncias, listadas abaixo, foram pautadas para a próxima reunião</w:t>
            </w:r>
            <w:r w:rsidR="00FB13BC">
              <w:rPr>
                <w:rFonts w:asciiTheme="majorHAnsi" w:eastAsia="Times New Roman" w:hAnsiTheme="majorHAnsi"/>
                <w:b/>
              </w:rPr>
              <w:t>.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1685/2015 – MKS Empreendimentos Imobiliários Ltda;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3445/2015 – Mariano Darold;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4086/2015 – Vanessa Zaupa Goulart;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 xml:space="preserve">Denúncia nº 4637/2015 – </w:t>
            </w:r>
            <w:r w:rsidR="00FB13BC" w:rsidRPr="00FB13BC">
              <w:rPr>
                <w:rFonts w:asciiTheme="majorHAnsi" w:eastAsia="Times New Roman" w:hAnsiTheme="majorHAnsi"/>
                <w:color w:val="000000"/>
              </w:rPr>
              <w:t>SEBRAE</w:t>
            </w:r>
            <w:r w:rsidRPr="00FB13BC">
              <w:rPr>
                <w:rFonts w:asciiTheme="majorHAnsi" w:eastAsia="Times New Roman" w:hAnsiTheme="majorHAnsi"/>
                <w:color w:val="000000"/>
              </w:rPr>
              <w:t xml:space="preserve"> RS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4885/2015 – Sr. Matias;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5207/2015 – Cond. Ilha dos Açores;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5254/2015 – João Nadal;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5320/2015 – Ideias e Soluções;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5560/2015 – Felipe Aires;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5666/2015;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n° 5832/2015 – Lorena Mayer;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5834/2015;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5838/2015;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5845/2015 – Solange Müller;</w:t>
            </w:r>
          </w:p>
          <w:p w:rsidR="00FB13BC" w:rsidRDefault="008612E2" w:rsidP="008612E2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5847/2015 – Serra Construções;</w:t>
            </w:r>
          </w:p>
          <w:p w:rsidR="00FB13BC" w:rsidRPr="00FB13BC" w:rsidRDefault="008612E2" w:rsidP="00FB13BC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 w:rsidRPr="00FB13BC">
              <w:rPr>
                <w:rFonts w:asciiTheme="majorHAnsi" w:eastAsia="Times New Roman" w:hAnsiTheme="majorHAnsi"/>
                <w:color w:val="000000"/>
              </w:rPr>
              <w:t>Denúncia nº 6012/2015 - Prefeituras;</w:t>
            </w:r>
          </w:p>
          <w:p w:rsidR="008612E2" w:rsidRPr="00FB13BC" w:rsidRDefault="008612E2" w:rsidP="00FB13BC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 w:rsidRPr="008612E2">
              <w:rPr>
                <w:rFonts w:asciiTheme="majorHAnsi" w:eastAsia="Times New Roman" w:hAnsiTheme="majorHAnsi"/>
                <w:color w:val="000000"/>
              </w:rPr>
              <w:t>Denúncia nº 6055 e 6057/2015 – Secretaria de Planejamento e Meio Ambiente – São Lourenço do Sul;</w:t>
            </w:r>
          </w:p>
          <w:p w:rsidR="00FB13BC" w:rsidRPr="008612E2" w:rsidRDefault="00FB13BC" w:rsidP="00FB13BC">
            <w:pPr>
              <w:pStyle w:val="PargrafodaLista"/>
              <w:shd w:val="clear" w:color="auto" w:fill="FFFFFF"/>
              <w:ind w:left="0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8612E2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8612E2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8612E2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8612E2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9759BD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CEP/RS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9759BD" w:rsidP="009759B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para a próxima reunião as denúncias não analisadas.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8612E2" w:rsidRDefault="009759BD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396BA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96BA6" w:rsidRPr="008612E2" w:rsidRDefault="008612E2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13.</w:t>
            </w:r>
            <w:r w:rsidRPr="008612E2">
              <w:rPr>
                <w:rFonts w:asciiTheme="majorHAnsi" w:hAnsiTheme="majorHAnsi" w:cs="Times New Roman"/>
                <w:b/>
              </w:rPr>
              <w:tab/>
              <w:t>Assuntos Gerais</w:t>
            </w:r>
          </w:p>
        </w:tc>
      </w:tr>
      <w:tr w:rsidR="00396BA6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12E2" w:rsidRPr="00ED3BD3" w:rsidRDefault="008612E2" w:rsidP="008612E2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ED3BD3">
              <w:rPr>
                <w:rFonts w:asciiTheme="majorHAnsi" w:hAnsiTheme="majorHAnsi"/>
                <w:b/>
                <w:color w:val="000000"/>
              </w:rPr>
              <w:t>13.1. Situação do processo de contratação do serviço de licitações</w:t>
            </w:r>
          </w:p>
          <w:p w:rsidR="00350D53" w:rsidRPr="008612E2" w:rsidRDefault="00350D53" w:rsidP="008612E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ab/>
            </w:r>
            <w:r w:rsidRPr="007116E8">
              <w:rPr>
                <w:rFonts w:asciiTheme="majorHAnsi" w:hAnsiTheme="majorHAnsi"/>
                <w:color w:val="000000"/>
              </w:rPr>
              <w:t>O Assessor Rodrigo relatou que</w:t>
            </w:r>
            <w:r w:rsidR="007116E8" w:rsidRPr="007116E8">
              <w:rPr>
                <w:rFonts w:asciiTheme="majorHAnsi" w:hAnsiTheme="majorHAnsi"/>
                <w:color w:val="000000"/>
              </w:rPr>
              <w:t>,</w:t>
            </w:r>
            <w:r w:rsidRPr="007116E8">
              <w:rPr>
                <w:rFonts w:asciiTheme="majorHAnsi" w:hAnsiTheme="majorHAnsi"/>
                <w:color w:val="000000"/>
              </w:rPr>
              <w:t xml:space="preserve"> conforme informações do setor de compras, o processo de contratação encontra-se em etapa de finalização.</w:t>
            </w:r>
          </w:p>
          <w:p w:rsidR="00396BA6" w:rsidRPr="00ED3BD3" w:rsidRDefault="008612E2" w:rsidP="008612E2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ED3BD3">
              <w:rPr>
                <w:rFonts w:asciiTheme="majorHAnsi" w:hAnsiTheme="majorHAnsi"/>
                <w:b/>
                <w:color w:val="000000"/>
              </w:rPr>
              <w:t>13.2. Situação da homologação de Deliberação da CEP sobre requisitos mínimos para admissão de denúncias</w:t>
            </w:r>
          </w:p>
          <w:p w:rsidR="00350D53" w:rsidRDefault="00350D53" w:rsidP="008612E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ab/>
            </w:r>
            <w:r w:rsidR="00FB13BC" w:rsidRPr="002B0817">
              <w:rPr>
                <w:rFonts w:asciiTheme="majorHAnsi" w:hAnsiTheme="majorHAnsi"/>
                <w:color w:val="000000"/>
              </w:rPr>
              <w:t>Conforme orientação da Assessoria Jurídica, definiu-se aguardar retorno sobre a questão do anonimato</w:t>
            </w:r>
            <w:r w:rsidR="00EF4DEC">
              <w:rPr>
                <w:rFonts w:asciiTheme="majorHAnsi" w:hAnsiTheme="majorHAnsi"/>
                <w:color w:val="000000"/>
              </w:rPr>
              <w:t>, para</w:t>
            </w:r>
            <w:r w:rsidR="00FB13BC" w:rsidRPr="002B0817">
              <w:rPr>
                <w:rFonts w:asciiTheme="majorHAnsi" w:hAnsiTheme="majorHAnsi"/>
                <w:color w:val="000000"/>
              </w:rPr>
              <w:t xml:space="preserve"> em caso de indeferimento pela plenária, ajustar-se as deliberações, se necessário, separá-las para acelerar a aprovação.</w:t>
            </w:r>
            <w:r w:rsidR="002B0817">
              <w:rPr>
                <w:rFonts w:asciiTheme="majorHAnsi" w:hAnsiTheme="majorHAnsi"/>
                <w:color w:val="000000"/>
              </w:rPr>
              <w:t xml:space="preserve"> O Assessor Jurídico Mauro</w:t>
            </w:r>
            <w:r w:rsidR="00F728D1">
              <w:rPr>
                <w:rFonts w:asciiTheme="majorHAnsi" w:hAnsiTheme="majorHAnsi"/>
                <w:color w:val="000000"/>
              </w:rPr>
              <w:t xml:space="preserve"> consultará o </w:t>
            </w:r>
            <w:r w:rsidR="002B0817">
              <w:rPr>
                <w:rFonts w:asciiTheme="majorHAnsi" w:hAnsiTheme="majorHAnsi"/>
                <w:color w:val="000000"/>
              </w:rPr>
              <w:t xml:space="preserve">Gerente Geral e Jurídico </w:t>
            </w:r>
            <w:r w:rsidR="00F728D1">
              <w:rPr>
                <w:rFonts w:asciiTheme="majorHAnsi" w:hAnsiTheme="majorHAnsi"/>
                <w:color w:val="000000"/>
              </w:rPr>
              <w:t xml:space="preserve">sobre a questão </w:t>
            </w:r>
            <w:r w:rsidR="002B0817">
              <w:rPr>
                <w:rFonts w:asciiTheme="majorHAnsi" w:hAnsiTheme="majorHAnsi"/>
                <w:color w:val="000000"/>
              </w:rPr>
              <w:t>para futuro encaminhamento, pautado para a próxima reunião. A conselheira Rosana solicita que se registre a sugestão de separação</w:t>
            </w:r>
            <w:r w:rsidR="00EF4DEC">
              <w:rPr>
                <w:rFonts w:asciiTheme="majorHAnsi" w:hAnsiTheme="majorHAnsi"/>
                <w:color w:val="000000"/>
              </w:rPr>
              <w:t xml:space="preserve"> do anonimato do corpo da deliberação já assinada.</w:t>
            </w:r>
          </w:p>
          <w:p w:rsidR="008612E2" w:rsidRPr="00ED3BD3" w:rsidRDefault="008612E2" w:rsidP="008612E2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ED3BD3">
              <w:rPr>
                <w:rFonts w:asciiTheme="majorHAnsi" w:hAnsiTheme="majorHAnsi"/>
                <w:b/>
                <w:color w:val="000000"/>
              </w:rPr>
              <w:t>13.4. Memorando COA</w:t>
            </w:r>
          </w:p>
          <w:p w:rsidR="008612E2" w:rsidRDefault="008612E2" w:rsidP="008612E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ab/>
              <w:t xml:space="preserve">O Conselheiro Pedone informou que </w:t>
            </w:r>
            <w:r w:rsidR="0016223F">
              <w:rPr>
                <w:rFonts w:asciiTheme="majorHAnsi" w:hAnsiTheme="majorHAnsi"/>
                <w:color w:val="000000"/>
              </w:rPr>
              <w:t xml:space="preserve">as </w:t>
            </w:r>
            <w:r>
              <w:rPr>
                <w:rFonts w:asciiTheme="majorHAnsi" w:hAnsiTheme="majorHAnsi"/>
                <w:color w:val="000000"/>
              </w:rPr>
              <w:t>contribuições foram entregues pelo Conselheiro Oritz durante a Plenária.</w:t>
            </w:r>
          </w:p>
          <w:p w:rsidR="008612E2" w:rsidRPr="00ED3BD3" w:rsidRDefault="008612E2" w:rsidP="008612E2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ED3BD3">
              <w:rPr>
                <w:rFonts w:asciiTheme="majorHAnsi" w:hAnsiTheme="majorHAnsi"/>
                <w:b/>
                <w:color w:val="000000"/>
              </w:rPr>
              <w:t>13.5. Comissão Concurso Sede CAU</w:t>
            </w:r>
          </w:p>
          <w:p w:rsidR="008612E2" w:rsidRDefault="008612E2" w:rsidP="008612E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ab/>
            </w:r>
            <w:r w:rsidR="007116E8" w:rsidRPr="007116E8">
              <w:rPr>
                <w:rFonts w:asciiTheme="majorHAnsi" w:hAnsiTheme="majorHAnsi" w:cs="Times New Roman"/>
              </w:rPr>
              <w:t xml:space="preserve">O Conselheiro Pedone relatou que </w:t>
            </w:r>
            <w:r w:rsidR="007116E8">
              <w:rPr>
                <w:rFonts w:asciiTheme="majorHAnsi" w:hAnsiTheme="majorHAnsi" w:cs="Times New Roman"/>
              </w:rPr>
              <w:t>d</w:t>
            </w:r>
            <w:r>
              <w:rPr>
                <w:rFonts w:asciiTheme="majorHAnsi" w:hAnsiTheme="majorHAnsi"/>
                <w:color w:val="000000"/>
              </w:rPr>
              <w:t>efiniu-se na plenária a par</w:t>
            </w:r>
            <w:r w:rsidR="00ED3BD3">
              <w:rPr>
                <w:rFonts w:asciiTheme="majorHAnsi" w:hAnsiTheme="majorHAnsi"/>
                <w:color w:val="000000"/>
              </w:rPr>
              <w:t>ticipação do Conselheiro Oritz</w:t>
            </w:r>
            <w:r w:rsidR="00EF4DEC">
              <w:rPr>
                <w:rFonts w:asciiTheme="majorHAnsi" w:hAnsiTheme="majorHAnsi"/>
                <w:color w:val="000000"/>
              </w:rPr>
              <w:t>,</w:t>
            </w:r>
            <w:r w:rsidR="00ED3BD3">
              <w:rPr>
                <w:rFonts w:asciiTheme="majorHAnsi" w:hAnsiTheme="majorHAnsi"/>
                <w:color w:val="000000"/>
              </w:rPr>
              <w:t xml:space="preserve"> em comissão para desenvolvimento de programa de necessidades para o concurso da sede do CAU</w:t>
            </w:r>
            <w:r>
              <w:rPr>
                <w:rFonts w:asciiTheme="majorHAnsi" w:hAnsiTheme="majorHAnsi"/>
                <w:color w:val="000000"/>
              </w:rPr>
              <w:t>.</w:t>
            </w:r>
            <w:r w:rsidR="00EF4DEC">
              <w:rPr>
                <w:rFonts w:asciiTheme="majorHAnsi" w:hAnsiTheme="majorHAnsi"/>
                <w:color w:val="000000"/>
              </w:rPr>
              <w:t xml:space="preserve"> Os demais conselheiros da CEP podem trazer contribuições a serem repassada via represente para esta comissão temporária.</w:t>
            </w:r>
          </w:p>
          <w:p w:rsidR="008612E2" w:rsidRPr="00ED3BD3" w:rsidRDefault="008612E2" w:rsidP="008612E2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ED3BD3">
              <w:rPr>
                <w:rFonts w:asciiTheme="majorHAnsi" w:hAnsiTheme="majorHAnsi"/>
                <w:b/>
                <w:color w:val="000000"/>
              </w:rPr>
              <w:t xml:space="preserve">13.6. </w:t>
            </w:r>
            <w:r w:rsidR="008D4A22" w:rsidRPr="00ED3BD3">
              <w:rPr>
                <w:rFonts w:asciiTheme="majorHAnsi" w:hAnsiTheme="majorHAnsi"/>
                <w:b/>
                <w:color w:val="000000"/>
              </w:rPr>
              <w:t xml:space="preserve">Comissão </w:t>
            </w:r>
            <w:r w:rsidR="00ED3BD3" w:rsidRPr="00ED3BD3">
              <w:rPr>
                <w:rFonts w:asciiTheme="majorHAnsi" w:hAnsiTheme="majorHAnsi"/>
                <w:b/>
                <w:color w:val="000000"/>
              </w:rPr>
              <w:t xml:space="preserve">Temporária </w:t>
            </w:r>
            <w:r w:rsidR="008D4A22" w:rsidRPr="00ED3BD3">
              <w:rPr>
                <w:rFonts w:asciiTheme="majorHAnsi" w:hAnsiTheme="majorHAnsi"/>
                <w:b/>
                <w:color w:val="000000"/>
              </w:rPr>
              <w:t>Editorial</w:t>
            </w:r>
          </w:p>
          <w:p w:rsidR="00EF4DEC" w:rsidRDefault="008D4A22" w:rsidP="008612E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ab/>
            </w:r>
            <w:r w:rsidR="007116E8" w:rsidRPr="007116E8">
              <w:rPr>
                <w:rFonts w:asciiTheme="majorHAnsi" w:hAnsiTheme="majorHAnsi" w:cs="Times New Roman"/>
              </w:rPr>
              <w:t xml:space="preserve">O Conselheiro Pedone relatou que </w:t>
            </w:r>
            <w:r w:rsidR="007116E8">
              <w:rPr>
                <w:rFonts w:asciiTheme="majorHAnsi" w:hAnsiTheme="majorHAnsi" w:cs="Times New Roman"/>
              </w:rPr>
              <w:t>d</w:t>
            </w:r>
            <w:r>
              <w:rPr>
                <w:rFonts w:asciiTheme="majorHAnsi" w:hAnsiTheme="majorHAnsi"/>
                <w:color w:val="000000"/>
              </w:rPr>
              <w:t xml:space="preserve">everá ser </w:t>
            </w:r>
            <w:r w:rsidR="00ED3BD3">
              <w:rPr>
                <w:rFonts w:asciiTheme="majorHAnsi" w:hAnsiTheme="majorHAnsi"/>
                <w:color w:val="000000"/>
              </w:rPr>
              <w:t>encaminha</w:t>
            </w:r>
            <w:r w:rsidR="0016223F">
              <w:rPr>
                <w:rFonts w:asciiTheme="majorHAnsi" w:hAnsiTheme="majorHAnsi"/>
                <w:color w:val="000000"/>
              </w:rPr>
              <w:t>da</w:t>
            </w:r>
            <w:r w:rsidR="00ED3BD3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 xml:space="preserve">indicação de Conselheiro da CEP para participar de Comissão Temporária Editorial. </w:t>
            </w:r>
            <w:r w:rsidR="0016223F">
              <w:rPr>
                <w:rFonts w:asciiTheme="majorHAnsi" w:hAnsiTheme="majorHAnsi"/>
                <w:color w:val="000000"/>
              </w:rPr>
              <w:t>Definiu-se pel</w:t>
            </w:r>
            <w:r>
              <w:rPr>
                <w:rFonts w:asciiTheme="majorHAnsi" w:hAnsiTheme="majorHAnsi"/>
                <w:color w:val="000000"/>
              </w:rPr>
              <w:t xml:space="preserve">a Conselheira Rosana </w:t>
            </w:r>
            <w:r w:rsidR="0016223F">
              <w:rPr>
                <w:rFonts w:asciiTheme="majorHAnsi" w:hAnsiTheme="majorHAnsi"/>
                <w:color w:val="000000"/>
              </w:rPr>
              <w:t>n</w:t>
            </w:r>
            <w:r>
              <w:rPr>
                <w:rFonts w:asciiTheme="majorHAnsi" w:hAnsiTheme="majorHAnsi"/>
                <w:color w:val="000000"/>
              </w:rPr>
              <w:t xml:space="preserve">o primeiro ano e </w:t>
            </w:r>
            <w:r w:rsidR="0016223F">
              <w:rPr>
                <w:rFonts w:asciiTheme="majorHAnsi" w:hAnsiTheme="majorHAnsi"/>
                <w:color w:val="000000"/>
              </w:rPr>
              <w:t xml:space="preserve">pelo </w:t>
            </w:r>
            <w:r>
              <w:rPr>
                <w:rFonts w:asciiTheme="majorHAnsi" w:hAnsiTheme="majorHAnsi"/>
                <w:color w:val="000000"/>
              </w:rPr>
              <w:t xml:space="preserve">Conselheiro Pedone </w:t>
            </w:r>
            <w:r w:rsidR="0016223F">
              <w:rPr>
                <w:rFonts w:asciiTheme="majorHAnsi" w:hAnsiTheme="majorHAnsi"/>
                <w:color w:val="000000"/>
              </w:rPr>
              <w:t>n</w:t>
            </w:r>
            <w:r>
              <w:rPr>
                <w:rFonts w:asciiTheme="majorHAnsi" w:hAnsiTheme="majorHAnsi"/>
                <w:color w:val="000000"/>
              </w:rPr>
              <w:t>o segundo.</w:t>
            </w:r>
            <w:r w:rsidR="00ED3BD3">
              <w:rPr>
                <w:rFonts w:asciiTheme="majorHAnsi" w:hAnsiTheme="majorHAnsi"/>
                <w:color w:val="000000"/>
              </w:rPr>
              <w:t xml:space="preserve"> </w:t>
            </w:r>
          </w:p>
          <w:p w:rsidR="00ED3BD3" w:rsidRDefault="00ED3BD3" w:rsidP="008612E2">
            <w:pPr>
              <w:shd w:val="clear" w:color="auto" w:fill="FFFFFF"/>
              <w:jc w:val="both"/>
              <w:rPr>
                <w:rFonts w:asciiTheme="majorHAnsi" w:hAnsiTheme="majorHAnsi" w:cs="Times New Roman"/>
                <w:b/>
              </w:rPr>
            </w:pPr>
            <w:r w:rsidRPr="00ED3BD3">
              <w:rPr>
                <w:rFonts w:asciiTheme="majorHAnsi" w:hAnsiTheme="majorHAnsi"/>
                <w:b/>
                <w:color w:val="000000"/>
              </w:rPr>
              <w:t xml:space="preserve">13.7. </w:t>
            </w:r>
            <w:r w:rsidRPr="00ED3BD3">
              <w:rPr>
                <w:rFonts w:asciiTheme="majorHAnsi" w:hAnsiTheme="majorHAnsi" w:cs="Times New Roman"/>
                <w:b/>
              </w:rPr>
              <w:t>Encaminhamento processos estudantes para a CED</w:t>
            </w:r>
          </w:p>
          <w:p w:rsidR="00ED3BD3" w:rsidRPr="00ED3BD3" w:rsidRDefault="00ED3BD3" w:rsidP="008612E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 w:cs="Times New Roman"/>
                <w:b/>
              </w:rPr>
              <w:tab/>
            </w:r>
            <w:r w:rsidR="007116E8" w:rsidRPr="007116E8">
              <w:rPr>
                <w:rFonts w:asciiTheme="majorHAnsi" w:hAnsiTheme="majorHAnsi" w:cs="Times New Roman"/>
              </w:rPr>
              <w:t>O Conselheiro Pedone relatou que o</w:t>
            </w:r>
            <w:r w:rsidR="00FB13BC">
              <w:rPr>
                <w:rFonts w:asciiTheme="majorHAnsi" w:hAnsiTheme="majorHAnsi" w:cs="Times New Roman"/>
              </w:rPr>
              <w:t>s casos foram entregues, durante a Plenária, para o Assessor Jurídico Alexandre.</w:t>
            </w:r>
          </w:p>
          <w:p w:rsidR="008D4A22" w:rsidRPr="00ED3BD3" w:rsidRDefault="008D4A22" w:rsidP="008612E2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ED3BD3">
              <w:rPr>
                <w:rFonts w:asciiTheme="majorHAnsi" w:hAnsiTheme="majorHAnsi"/>
                <w:b/>
                <w:color w:val="000000"/>
              </w:rPr>
              <w:t>13.</w:t>
            </w:r>
            <w:r w:rsidR="00ED3BD3">
              <w:rPr>
                <w:rFonts w:asciiTheme="majorHAnsi" w:hAnsiTheme="majorHAnsi"/>
                <w:b/>
                <w:color w:val="000000"/>
              </w:rPr>
              <w:t>8</w:t>
            </w:r>
            <w:r w:rsidRPr="00ED3BD3">
              <w:rPr>
                <w:rFonts w:asciiTheme="majorHAnsi" w:hAnsiTheme="majorHAnsi"/>
                <w:b/>
                <w:color w:val="000000"/>
              </w:rPr>
              <w:t>. Relatórios Encontro da CEP CAU/BR com os CAU/UF</w:t>
            </w:r>
          </w:p>
          <w:p w:rsidR="008D4A22" w:rsidRDefault="008D4A22" w:rsidP="008D4A2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ab/>
              <w:t>Definiu-se pela reunião dos relatórios elaborados pelos conselheiros em cada um dos grupos temáticos</w:t>
            </w:r>
            <w:r w:rsidR="00EF4DEC">
              <w:rPr>
                <w:rFonts w:asciiTheme="majorHAnsi" w:hAnsiTheme="majorHAnsi"/>
                <w:color w:val="000000"/>
              </w:rPr>
              <w:t>,</w:t>
            </w:r>
            <w:r>
              <w:rPr>
                <w:rFonts w:asciiTheme="majorHAnsi" w:hAnsiTheme="majorHAnsi"/>
                <w:color w:val="000000"/>
              </w:rPr>
              <w:t xml:space="preserve"> para que fiquem disponíveis à consulta no momento do recebimento do documento final do evento, produzido pela CEP do CAU/BR.</w:t>
            </w:r>
          </w:p>
          <w:p w:rsidR="00C23369" w:rsidRPr="006472D2" w:rsidRDefault="00C23369" w:rsidP="008D4A22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6472D2">
              <w:rPr>
                <w:rFonts w:asciiTheme="majorHAnsi" w:hAnsiTheme="majorHAnsi"/>
                <w:b/>
                <w:color w:val="000000"/>
              </w:rPr>
              <w:t xml:space="preserve">13.9. </w:t>
            </w:r>
            <w:r w:rsidR="006472D2">
              <w:rPr>
                <w:rFonts w:asciiTheme="majorHAnsi" w:hAnsiTheme="majorHAnsi"/>
                <w:b/>
                <w:color w:val="000000"/>
              </w:rPr>
              <w:t>D</w:t>
            </w:r>
            <w:r w:rsidRPr="006472D2">
              <w:rPr>
                <w:rFonts w:asciiTheme="majorHAnsi" w:hAnsiTheme="majorHAnsi"/>
                <w:b/>
                <w:color w:val="000000"/>
              </w:rPr>
              <w:t>eliberações da CEP retiradas da Pauta da plenária:</w:t>
            </w:r>
          </w:p>
          <w:p w:rsidR="004D2013" w:rsidRDefault="00C23369" w:rsidP="008D4A2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ab/>
            </w:r>
            <w:r w:rsidRPr="002B0817">
              <w:rPr>
                <w:rFonts w:asciiTheme="majorHAnsi" w:hAnsiTheme="majorHAnsi"/>
                <w:color w:val="000000"/>
              </w:rPr>
              <w:t xml:space="preserve">A Conselheira Rosana </w:t>
            </w:r>
            <w:r w:rsidR="0016223F">
              <w:rPr>
                <w:rFonts w:asciiTheme="majorHAnsi" w:hAnsiTheme="majorHAnsi"/>
                <w:color w:val="000000"/>
              </w:rPr>
              <w:t>informou</w:t>
            </w:r>
            <w:r w:rsidRPr="002B0817">
              <w:rPr>
                <w:rFonts w:asciiTheme="majorHAnsi" w:hAnsiTheme="majorHAnsi"/>
                <w:color w:val="000000"/>
              </w:rPr>
              <w:t xml:space="preserve"> que duas deliberações da CEP foram relatadas e retirada</w:t>
            </w:r>
            <w:r w:rsidR="006472D2" w:rsidRPr="002B0817">
              <w:rPr>
                <w:rFonts w:asciiTheme="majorHAnsi" w:hAnsiTheme="majorHAnsi"/>
                <w:color w:val="000000"/>
              </w:rPr>
              <w:t>s</w:t>
            </w:r>
            <w:r w:rsidRPr="002B0817">
              <w:rPr>
                <w:rFonts w:asciiTheme="majorHAnsi" w:hAnsiTheme="majorHAnsi"/>
                <w:color w:val="000000"/>
              </w:rPr>
              <w:t xml:space="preserve"> da </w:t>
            </w:r>
            <w:r w:rsidR="0016223F">
              <w:rPr>
                <w:rFonts w:asciiTheme="majorHAnsi" w:hAnsiTheme="majorHAnsi"/>
                <w:color w:val="000000"/>
              </w:rPr>
              <w:t xml:space="preserve">pauta da </w:t>
            </w:r>
            <w:r w:rsidRPr="002B0817">
              <w:rPr>
                <w:rFonts w:asciiTheme="majorHAnsi" w:hAnsiTheme="majorHAnsi"/>
                <w:color w:val="000000"/>
              </w:rPr>
              <w:t>Plenária. Uma é sobre concursos</w:t>
            </w:r>
            <w:r w:rsidR="004D2013">
              <w:rPr>
                <w:rFonts w:asciiTheme="majorHAnsi" w:hAnsiTheme="majorHAnsi"/>
                <w:color w:val="000000"/>
              </w:rPr>
              <w:t xml:space="preserve"> e </w:t>
            </w:r>
            <w:r w:rsidRPr="002B0817">
              <w:rPr>
                <w:rFonts w:asciiTheme="majorHAnsi" w:hAnsiTheme="majorHAnsi"/>
                <w:color w:val="000000"/>
              </w:rPr>
              <w:t xml:space="preserve">a outra </w:t>
            </w:r>
            <w:r w:rsidR="004D2013">
              <w:rPr>
                <w:rFonts w:asciiTheme="majorHAnsi" w:hAnsiTheme="majorHAnsi"/>
                <w:color w:val="000000"/>
              </w:rPr>
              <w:t xml:space="preserve">é </w:t>
            </w:r>
            <w:r w:rsidRPr="002B0817">
              <w:rPr>
                <w:rFonts w:asciiTheme="majorHAnsi" w:hAnsiTheme="majorHAnsi"/>
                <w:color w:val="000000"/>
              </w:rPr>
              <w:t>sobre admissão de denúncias</w:t>
            </w:r>
            <w:r w:rsidR="0016223F">
              <w:rPr>
                <w:rFonts w:asciiTheme="majorHAnsi" w:hAnsiTheme="majorHAnsi"/>
                <w:color w:val="000000"/>
              </w:rPr>
              <w:t>.</w:t>
            </w:r>
            <w:r w:rsidR="004D2013">
              <w:rPr>
                <w:rFonts w:asciiTheme="majorHAnsi" w:hAnsiTheme="majorHAnsi"/>
                <w:color w:val="000000"/>
              </w:rPr>
              <w:t xml:space="preserve"> </w:t>
            </w:r>
            <w:r w:rsidR="0016223F">
              <w:rPr>
                <w:rFonts w:asciiTheme="majorHAnsi" w:hAnsiTheme="majorHAnsi"/>
                <w:color w:val="000000"/>
              </w:rPr>
              <w:t xml:space="preserve">Esta última está </w:t>
            </w:r>
            <w:r w:rsidR="004D2013">
              <w:rPr>
                <w:rFonts w:asciiTheme="majorHAnsi" w:hAnsiTheme="majorHAnsi"/>
                <w:color w:val="000000"/>
              </w:rPr>
              <w:t>aguardando parecer do jurídico para retornar à plenária, conforme citado no item 13.2.</w:t>
            </w:r>
          </w:p>
          <w:p w:rsidR="003268CD" w:rsidRDefault="003268CD" w:rsidP="008D4A22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3268CD">
              <w:rPr>
                <w:rFonts w:asciiTheme="majorHAnsi" w:hAnsiTheme="majorHAnsi"/>
                <w:b/>
                <w:color w:val="000000"/>
              </w:rPr>
              <w:t>13.10. Projetos Online</w:t>
            </w:r>
          </w:p>
          <w:p w:rsidR="003268CD" w:rsidRDefault="003268CD" w:rsidP="008D4A2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 w:rsidRPr="003268CD">
              <w:rPr>
                <w:rFonts w:asciiTheme="majorHAnsi" w:hAnsiTheme="majorHAnsi"/>
                <w:color w:val="000000"/>
              </w:rPr>
              <w:tab/>
              <w:t xml:space="preserve">A Conselheira Silvia solicitou </w:t>
            </w:r>
            <w:r w:rsidR="0016223F">
              <w:rPr>
                <w:rFonts w:asciiTheme="majorHAnsi" w:hAnsiTheme="majorHAnsi"/>
                <w:color w:val="000000"/>
              </w:rPr>
              <w:t xml:space="preserve">que o assunto fosse incluído na </w:t>
            </w:r>
            <w:r w:rsidRPr="003268CD">
              <w:rPr>
                <w:rFonts w:asciiTheme="majorHAnsi" w:hAnsiTheme="majorHAnsi"/>
                <w:color w:val="000000"/>
              </w:rPr>
              <w:t>pauta</w:t>
            </w:r>
            <w:r w:rsidR="0016223F">
              <w:rPr>
                <w:rFonts w:asciiTheme="majorHAnsi" w:hAnsiTheme="majorHAnsi"/>
                <w:color w:val="000000"/>
              </w:rPr>
              <w:t xml:space="preserve"> d</w:t>
            </w:r>
            <w:r w:rsidRPr="003268CD">
              <w:rPr>
                <w:rFonts w:asciiTheme="majorHAnsi" w:hAnsiTheme="majorHAnsi"/>
                <w:color w:val="000000"/>
              </w:rPr>
              <w:t>a próxima reunião.</w:t>
            </w:r>
          </w:p>
          <w:p w:rsidR="002B0817" w:rsidRPr="002B0817" w:rsidRDefault="002B0817" w:rsidP="008D4A22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2B0817">
              <w:rPr>
                <w:rFonts w:asciiTheme="majorHAnsi" w:hAnsiTheme="majorHAnsi"/>
                <w:b/>
                <w:color w:val="000000"/>
              </w:rPr>
              <w:t>13.11. Programa de Gerenciamento de Processos</w:t>
            </w:r>
          </w:p>
          <w:p w:rsidR="002B0817" w:rsidRDefault="002B0817" w:rsidP="008D4A2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ab/>
              <w:t>A Conselheira Rosana</w:t>
            </w:r>
            <w:r w:rsidR="00E35EF9"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Theme="majorHAnsi" w:hAnsiTheme="majorHAnsi"/>
                <w:color w:val="000000"/>
              </w:rPr>
              <w:t>citou</w:t>
            </w:r>
            <w:r w:rsidR="007B10D8">
              <w:rPr>
                <w:rFonts w:asciiTheme="majorHAnsi" w:hAnsiTheme="majorHAnsi"/>
                <w:color w:val="000000"/>
              </w:rPr>
              <w:t xml:space="preserve"> tomar conhecimento de um</w:t>
            </w:r>
            <w:r>
              <w:rPr>
                <w:rFonts w:asciiTheme="majorHAnsi" w:hAnsiTheme="majorHAnsi"/>
                <w:color w:val="000000"/>
              </w:rPr>
              <w:t xml:space="preserve"> programa de gestão </w:t>
            </w:r>
            <w:r w:rsidR="00EF4DEC">
              <w:rPr>
                <w:rFonts w:asciiTheme="majorHAnsi" w:hAnsiTheme="majorHAnsi"/>
                <w:color w:val="000000"/>
              </w:rPr>
              <w:t xml:space="preserve">administrativa </w:t>
            </w:r>
            <w:r>
              <w:rPr>
                <w:rFonts w:asciiTheme="majorHAnsi" w:hAnsiTheme="majorHAnsi"/>
                <w:color w:val="000000"/>
              </w:rPr>
              <w:t>eletrônica para órgãos públicos</w:t>
            </w:r>
            <w:r w:rsidR="00E35EF9">
              <w:rPr>
                <w:rFonts w:asciiTheme="majorHAnsi" w:hAnsiTheme="majorHAnsi"/>
                <w:color w:val="000000"/>
              </w:rPr>
              <w:t xml:space="preserve">, </w:t>
            </w:r>
            <w:r w:rsidR="00170BE6">
              <w:rPr>
                <w:rFonts w:asciiTheme="majorHAnsi" w:hAnsiTheme="majorHAnsi"/>
                <w:color w:val="000000"/>
              </w:rPr>
              <w:t xml:space="preserve">com valor de 100 mil reais, </w:t>
            </w:r>
            <w:r w:rsidR="007B10D8">
              <w:rPr>
                <w:rFonts w:asciiTheme="majorHAnsi" w:hAnsiTheme="majorHAnsi"/>
                <w:color w:val="000000"/>
              </w:rPr>
              <w:t xml:space="preserve">que executa </w:t>
            </w:r>
            <w:r w:rsidR="00170BE6">
              <w:rPr>
                <w:rFonts w:asciiTheme="majorHAnsi" w:hAnsiTheme="majorHAnsi"/>
                <w:color w:val="000000"/>
              </w:rPr>
              <w:t xml:space="preserve">automação de distribuição de processos, sinalização de prazos, questões administrativas, etc. Sugere pautar a discussão sobre </w:t>
            </w:r>
            <w:bookmarkStart w:id="0" w:name="_GoBack"/>
            <w:bookmarkEnd w:id="0"/>
            <w:r w:rsidR="00170BE6">
              <w:rPr>
                <w:rFonts w:asciiTheme="majorHAnsi" w:hAnsiTheme="majorHAnsi"/>
                <w:color w:val="000000"/>
              </w:rPr>
              <w:t>implementação de gestão eletrônica deste tipo de sistema</w:t>
            </w:r>
            <w:r w:rsidR="007B10D8">
              <w:rPr>
                <w:rFonts w:asciiTheme="majorHAnsi" w:hAnsiTheme="majorHAnsi"/>
                <w:color w:val="000000"/>
              </w:rPr>
              <w:t xml:space="preserve"> no CAU/RS</w:t>
            </w:r>
            <w:r w:rsidR="00170BE6">
              <w:rPr>
                <w:rFonts w:asciiTheme="majorHAnsi" w:hAnsiTheme="majorHAnsi"/>
                <w:color w:val="000000"/>
              </w:rPr>
              <w:t>. O Conselheiro Oritz sugere estudar a utilização de algum programa livre, que seja baseado no já utilizado pela justiça. Definiu-se por pautar o assunto para reunião futura.</w:t>
            </w:r>
          </w:p>
          <w:p w:rsidR="008D4A22" w:rsidRPr="008612E2" w:rsidRDefault="008D4A22" w:rsidP="008D4A22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</w:p>
        </w:tc>
      </w:tr>
      <w:tr w:rsidR="00396BA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8612E2" w:rsidRDefault="00396BA6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96BA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8612E2" w:rsidRDefault="00396BA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8612E2" w:rsidRDefault="00396BA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8612E2" w:rsidRDefault="00396BA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728D1" w:rsidRPr="002A2A40" w:rsidTr="002435A3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728D1" w:rsidRDefault="00F728D1" w:rsidP="002435A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Cons. Rosana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728D1" w:rsidRDefault="00F728D1" w:rsidP="00F728D1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Consultar a Gerência Administrativa sobre a situação do processo de EPIs e materiais de apoio à fiscalização.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728D1" w:rsidRDefault="00F728D1" w:rsidP="002435A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7B10D8" w:rsidRPr="002A2A40" w:rsidTr="002435A3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10D8" w:rsidRDefault="007B10D8" w:rsidP="002435A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CEP/RS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10D8" w:rsidRDefault="007B10D8" w:rsidP="002435A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Organizar relatórios dos conselheiros desenvolvidos nos grupos de discussão do 1° Encontro da CEP CAU/BR com os CAU/UF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10D8" w:rsidRDefault="007B10D8" w:rsidP="002435A3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Secretaria</w:t>
            </w:r>
          </w:p>
        </w:tc>
      </w:tr>
      <w:tr w:rsidR="00396BA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8612E2" w:rsidRDefault="006472D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CEP/RS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8612E2" w:rsidRDefault="00F728D1" w:rsidP="00F728D1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Consultar </w:t>
            </w:r>
            <w:r w:rsidR="00FB13BC">
              <w:rPr>
                <w:rFonts w:asciiTheme="majorHAnsi" w:hAnsiTheme="majorHAnsi" w:cs="Times New Roman"/>
              </w:rPr>
              <w:t xml:space="preserve">a Gerência Geral </w:t>
            </w:r>
            <w:r>
              <w:rPr>
                <w:rFonts w:asciiTheme="majorHAnsi" w:hAnsiTheme="majorHAnsi" w:cs="Times New Roman"/>
              </w:rPr>
              <w:t xml:space="preserve">sobre </w:t>
            </w:r>
            <w:r w:rsidR="00FB13BC">
              <w:rPr>
                <w:rFonts w:asciiTheme="majorHAnsi" w:hAnsiTheme="majorHAnsi" w:cs="Times New Roman"/>
              </w:rPr>
              <w:t xml:space="preserve">a situação da deliberação 111 da CEP </w:t>
            </w:r>
            <w:r>
              <w:rPr>
                <w:rFonts w:asciiTheme="majorHAnsi" w:hAnsiTheme="majorHAnsi" w:cs="Times New Roman"/>
              </w:rPr>
              <w:t>relativa à</w:t>
            </w:r>
            <w:r w:rsidR="00FB13BC">
              <w:rPr>
                <w:rFonts w:asciiTheme="majorHAnsi" w:hAnsiTheme="majorHAnsi" w:cs="Times New Roman"/>
              </w:rPr>
              <w:t xml:space="preserve"> admissão de denúncias e </w:t>
            </w:r>
            <w:r>
              <w:rPr>
                <w:rFonts w:asciiTheme="majorHAnsi" w:hAnsiTheme="majorHAnsi" w:cs="Times New Roman"/>
              </w:rPr>
              <w:t xml:space="preserve">sobre </w:t>
            </w:r>
            <w:r w:rsidR="00FB13BC">
              <w:rPr>
                <w:rFonts w:asciiTheme="majorHAnsi" w:hAnsiTheme="majorHAnsi" w:cs="Times New Roman"/>
              </w:rPr>
              <w:t>os caminhos possíveis para acelerar a homologação.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8612E2" w:rsidRDefault="006472D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</w:t>
            </w:r>
          </w:p>
        </w:tc>
      </w:tr>
      <w:tr w:rsidR="0016223F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223F" w:rsidRDefault="007B10D8" w:rsidP="002B081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Cons. Sílvia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223F" w:rsidRDefault="007B10D8" w:rsidP="007B10D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tema “Projetos Online” para a próxima reunião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6223F" w:rsidRDefault="007B10D8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170BE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BE6" w:rsidRDefault="00170BE6" w:rsidP="002B081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Cons. Rosana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BE6" w:rsidRDefault="00170BE6" w:rsidP="009759B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para Reunião futura a discussão sobre viabilidade de implementa</w:t>
            </w:r>
            <w:r w:rsidR="009759BD">
              <w:rPr>
                <w:rFonts w:asciiTheme="majorHAnsi" w:hAnsiTheme="majorHAnsi" w:cs="Times New Roman"/>
              </w:rPr>
              <w:t>r</w:t>
            </w:r>
            <w:r>
              <w:rPr>
                <w:rFonts w:asciiTheme="majorHAnsi" w:hAnsiTheme="majorHAnsi" w:cs="Times New Roman"/>
              </w:rPr>
              <w:t xml:space="preserve"> sistema de gestão eletrônic</w:t>
            </w:r>
            <w:r w:rsidR="008D6777">
              <w:rPr>
                <w:rFonts w:asciiTheme="majorHAnsi" w:hAnsiTheme="majorHAnsi" w:cs="Times New Roman"/>
              </w:rPr>
              <w:t>o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8D6777">
              <w:rPr>
                <w:rFonts w:asciiTheme="majorHAnsi" w:hAnsiTheme="majorHAnsi" w:cs="Times New Roman"/>
              </w:rPr>
              <w:t>no CAU/RS.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70BE6" w:rsidRDefault="008D6777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</w:t>
            </w:r>
          </w:p>
        </w:tc>
      </w:tr>
      <w:tr w:rsidR="00995A81" w:rsidRPr="002A2A40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8612E2" w:rsidRDefault="00995A81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8612E2" w:rsidRDefault="00995A81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5A2C63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A2C63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A2C63" w:rsidRPr="002A2A40" w:rsidTr="008612E2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A2C63" w:rsidRPr="002A2A40" w:rsidTr="008612E2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A2C63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8612E2" w:rsidRDefault="005A2C63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8612E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CE7" w:rsidRPr="008612E2" w:rsidRDefault="00954CE7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0E189E" w:rsidRPr="002A2A40" w:rsidTr="00DD435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89E" w:rsidRPr="002A2A40" w:rsidRDefault="000E189E" w:rsidP="00DD435E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Rodrigo Jaroseski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89E" w:rsidRPr="002A2A40" w:rsidRDefault="000E189E" w:rsidP="00DD435E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>
              <w:rPr>
                <w:rFonts w:asciiTheme="majorHAnsi" w:hAnsiTheme="majorHAnsi" w:cs="Arial"/>
              </w:rPr>
              <w:t>o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  <w:r>
              <w:rPr>
                <w:rFonts w:asciiTheme="majorHAnsi" w:hAnsiTheme="majorHAnsi" w:cs="Arial"/>
              </w:rPr>
              <w:t xml:space="preserve"> Substituto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89E" w:rsidRPr="002A2A40" w:rsidRDefault="000E189E" w:rsidP="00DD435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8612E2" w:rsidRDefault="00954CE7" w:rsidP="008612E2">
            <w:pPr>
              <w:ind w:left="176"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Mauro Viera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8612E2" w:rsidRDefault="00954CE7" w:rsidP="008612E2">
            <w:pPr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8612E2" w:rsidRDefault="00954CE7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76" w:rsidRDefault="00150876" w:rsidP="00A021E7">
      <w:pPr>
        <w:spacing w:after="0" w:line="240" w:lineRule="auto"/>
      </w:pPr>
      <w:r>
        <w:separator/>
      </w:r>
    </w:p>
  </w:endnote>
  <w:endnote w:type="continuationSeparator" w:id="0">
    <w:p w:rsidR="00150876" w:rsidRDefault="0015087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BE4005" w:rsidRPr="005E4F36" w:rsidRDefault="00BE4005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EF4DEC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BE4005" w:rsidRPr="005E4F36" w:rsidRDefault="00BE400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76" w:rsidRDefault="00150876" w:rsidP="00A021E7">
      <w:pPr>
        <w:spacing w:after="0" w:line="240" w:lineRule="auto"/>
      </w:pPr>
      <w:r>
        <w:separator/>
      </w:r>
    </w:p>
  </w:footnote>
  <w:footnote w:type="continuationSeparator" w:id="0">
    <w:p w:rsidR="00150876" w:rsidRDefault="0015087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05" w:rsidRDefault="00BE40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3"/>
  </w:num>
  <w:num w:numId="13">
    <w:abstractNumId w:val="5"/>
  </w:num>
  <w:num w:numId="14">
    <w:abstractNumId w:val="3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B7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E47"/>
    <w:rsid w:val="00125FA5"/>
    <w:rsid w:val="0012608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876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23F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1729"/>
    <w:rsid w:val="001B1B96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67A3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3A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AF"/>
    <w:rsid w:val="00440CF8"/>
    <w:rsid w:val="00441C5E"/>
    <w:rsid w:val="00441E9F"/>
    <w:rsid w:val="00442361"/>
    <w:rsid w:val="004423A4"/>
    <w:rsid w:val="0044261B"/>
    <w:rsid w:val="00442ECA"/>
    <w:rsid w:val="00443CAE"/>
    <w:rsid w:val="004441D3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5FC8"/>
    <w:rsid w:val="004B6BC7"/>
    <w:rsid w:val="004B6F99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7BB4"/>
    <w:rsid w:val="00540414"/>
    <w:rsid w:val="00541411"/>
    <w:rsid w:val="0054177B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6E8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10D8"/>
    <w:rsid w:val="007B24E7"/>
    <w:rsid w:val="007B2996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5D9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A22"/>
    <w:rsid w:val="008D536A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0F14"/>
    <w:rsid w:val="0099179D"/>
    <w:rsid w:val="00991E6E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491"/>
    <w:rsid w:val="00A52712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30C2"/>
    <w:rsid w:val="00AE424E"/>
    <w:rsid w:val="00AE4B0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3134"/>
    <w:rsid w:val="00C23369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1F4"/>
    <w:rsid w:val="00CE1960"/>
    <w:rsid w:val="00CE1EB0"/>
    <w:rsid w:val="00CE3032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4809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5EF9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65D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4DEC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28D1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517E-72F1-4EAA-A8F3-9276103D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7</Pages>
  <Words>2590</Words>
  <Characters>13989</Characters>
  <Application>Microsoft Office Word</Application>
  <DocSecurity>0</DocSecurity>
  <Lines>116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25</cp:revision>
  <cp:lastPrinted>2015-05-06T14:41:00Z</cp:lastPrinted>
  <dcterms:created xsi:type="dcterms:W3CDTF">2015-05-21T15:55:00Z</dcterms:created>
  <dcterms:modified xsi:type="dcterms:W3CDTF">2015-07-02T13:22:00Z</dcterms:modified>
</cp:coreProperties>
</file>