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46"/>
        <w:gridCol w:w="152"/>
        <w:gridCol w:w="1265"/>
        <w:gridCol w:w="1134"/>
        <w:gridCol w:w="1418"/>
        <w:gridCol w:w="142"/>
        <w:gridCol w:w="425"/>
        <w:gridCol w:w="332"/>
        <w:gridCol w:w="141"/>
        <w:gridCol w:w="142"/>
        <w:gridCol w:w="2126"/>
      </w:tblGrid>
      <w:tr w:rsidR="00020BC5" w:rsidRPr="009E47A2" w:rsidTr="00753D93">
        <w:trPr>
          <w:trHeight w:val="276"/>
        </w:trPr>
        <w:tc>
          <w:tcPr>
            <w:tcW w:w="9523" w:type="dxa"/>
            <w:gridSpan w:val="11"/>
            <w:shd w:val="clear" w:color="auto" w:fill="D9D9D9" w:themeFill="background1" w:themeFillShade="D9"/>
          </w:tcPr>
          <w:p w:rsidR="00020BC5" w:rsidRPr="009E47A2" w:rsidRDefault="00020BC5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="000A508A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  <w:r w:rsidR="006854E8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9</w:t>
            </w:r>
            <w:r w:rsidR="000C5A61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9E47A2" w:rsidTr="00753D93">
        <w:tc>
          <w:tcPr>
            <w:tcW w:w="4797" w:type="dxa"/>
            <w:gridSpan w:val="4"/>
            <w:vAlign w:val="center"/>
          </w:tcPr>
          <w:p w:rsidR="009E47A2" w:rsidRPr="009E47A2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LOCAL:</w:t>
            </w:r>
            <w:r w:rsidRPr="009E47A2">
              <w:rPr>
                <w:rFonts w:asciiTheme="majorHAnsi" w:hAnsiTheme="majorHAnsi" w:cs="Times New Roman"/>
                <w:sz w:val="24"/>
                <w:szCs w:val="24"/>
              </w:rPr>
              <w:t xml:space="preserve"> Sala de Reuniões – 15º andar</w:t>
            </w:r>
            <w:r w:rsidR="007B3C0B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4726" w:type="dxa"/>
            <w:gridSpan w:val="7"/>
            <w:vAlign w:val="bottom"/>
          </w:tcPr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>Data: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 xml:space="preserve"> 19/03/2015</w:t>
            </w:r>
          </w:p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>Hora início: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 xml:space="preserve"> 10h</w:t>
            </w: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ab/>
            </w:r>
          </w:p>
          <w:p w:rsidR="009E47A2" w:rsidRPr="009E47A2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Arial"/>
                <w:b/>
                <w:sz w:val="24"/>
                <w:szCs w:val="24"/>
              </w:rPr>
              <w:t xml:space="preserve">Hora término: </w:t>
            </w:r>
            <w:r w:rsidRPr="009E47A2">
              <w:rPr>
                <w:rFonts w:asciiTheme="majorHAnsi" w:hAnsiTheme="majorHAnsi" w:cs="Arial"/>
                <w:sz w:val="24"/>
                <w:szCs w:val="24"/>
              </w:rPr>
              <w:t>13h</w:t>
            </w:r>
          </w:p>
        </w:tc>
      </w:tr>
      <w:tr w:rsidR="009E47A2" w:rsidRPr="009178D3" w:rsidTr="00753D93">
        <w:tc>
          <w:tcPr>
            <w:tcW w:w="9523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B3C0B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B3C0B">
              <w:rPr>
                <w:rFonts w:asciiTheme="majorHAnsi" w:hAnsiTheme="majorHAnsi" w:cs="Times New Roman"/>
                <w:b/>
              </w:rPr>
              <w:t>PRESENTES:</w:t>
            </w:r>
            <w:r w:rsidRPr="007B3C0B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9178D3" w:rsidRDefault="0068227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7B3C0B">
              <w:rPr>
                <w:rFonts w:asciiTheme="majorHAnsi" w:hAnsiTheme="majorHAnsi" w:cs="Times New Roman"/>
              </w:rPr>
              <w:t>Presidente Roberto Py Gomes da Silveira, Coordenador da Comissão Carlos Eduardo Mesquita Pedone, Conselheiras Rosana Oppitz e Sílvia Monteiro Barakat e Conselheiros Enio von Marées e Oritz Adriano Adams de Campos; assessora técnica Maríndia Girardello</w:t>
            </w:r>
            <w:r w:rsidR="00D43D6A" w:rsidRPr="007B3C0B">
              <w:rPr>
                <w:rFonts w:asciiTheme="majorHAnsi" w:hAnsiTheme="majorHAnsi" w:cs="Times New Roman"/>
              </w:rPr>
              <w:t xml:space="preserve">, o Gerente-Geral Fausto Loureiro, o assessor jurídico </w:t>
            </w:r>
            <w:r w:rsidR="008112BC">
              <w:rPr>
                <w:rFonts w:asciiTheme="majorHAnsi" w:hAnsiTheme="majorHAnsi" w:cs="Times New Roman"/>
              </w:rPr>
              <w:t>Assessor jurídico Mauro Viera Maciel</w:t>
            </w:r>
            <w:r w:rsidR="00D43D6A" w:rsidRPr="007B3C0B">
              <w:rPr>
                <w:rFonts w:asciiTheme="majorHAnsi" w:hAnsiTheme="majorHAnsi" w:cs="Times New Roman"/>
              </w:rPr>
              <w:t xml:space="preserve"> </w:t>
            </w:r>
            <w:r w:rsidRPr="007B3C0B">
              <w:rPr>
                <w:rFonts w:asciiTheme="majorHAnsi" w:hAnsiTheme="majorHAnsi" w:cs="Times New Roman"/>
              </w:rPr>
              <w:t xml:space="preserve">e </w:t>
            </w:r>
            <w:r w:rsidR="00D43D6A" w:rsidRPr="007B3C0B">
              <w:rPr>
                <w:rFonts w:asciiTheme="majorHAnsi" w:hAnsiTheme="majorHAnsi" w:cs="Times New Roman"/>
              </w:rPr>
              <w:t xml:space="preserve">a </w:t>
            </w:r>
            <w:r w:rsidRPr="007B3C0B">
              <w:rPr>
                <w:rFonts w:asciiTheme="majorHAnsi" w:hAnsiTheme="majorHAnsi" w:cs="Times New Roman"/>
              </w:rPr>
              <w:t>secretária executiva Carla Regina Dal Lago Valério.</w:t>
            </w:r>
          </w:p>
        </w:tc>
      </w:tr>
      <w:tr w:rsidR="009E47A2" w:rsidRPr="009E47A2" w:rsidTr="00753D93">
        <w:tc>
          <w:tcPr>
            <w:tcW w:w="9523" w:type="dxa"/>
            <w:gridSpan w:val="11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9E47A2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PAUTA</w:t>
            </w:r>
          </w:p>
        </w:tc>
      </w:tr>
      <w:tr w:rsidR="009E47A2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9E47A2" w:rsidRDefault="009E47A2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Aprovação da Súmula da 118º Reunião.</w:t>
            </w:r>
          </w:p>
        </w:tc>
      </w:tr>
      <w:tr w:rsidR="009E47A2" w:rsidRPr="00403F91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002A8D" w:rsidRPr="00403F91" w:rsidRDefault="007B3C0B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03F91">
              <w:rPr>
                <w:rFonts w:asciiTheme="majorHAnsi" w:eastAsia="Times New Roman" w:hAnsiTheme="majorHAnsi" w:cs="Times New Roman"/>
                <w:color w:val="000000"/>
              </w:rPr>
              <w:t>A súmula foi aprovada sem ressalvas.</w:t>
            </w:r>
          </w:p>
        </w:tc>
      </w:tr>
      <w:tr w:rsidR="009E47A2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E47A2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9E47A2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4857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E47A2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9E47A2" w:rsidRDefault="009E47A2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Acompanhamento dos encaminhamentos da Comissão.</w:t>
            </w:r>
          </w:p>
        </w:tc>
      </w:tr>
      <w:tr w:rsidR="009E47A2" w:rsidRPr="00403F91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9E47A2" w:rsidRPr="00403F91" w:rsidRDefault="00AC26F1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03F91">
              <w:rPr>
                <w:rFonts w:asciiTheme="majorHAnsi" w:eastAsia="Times New Roman" w:hAnsiTheme="majorHAnsi" w:cs="Times New Roman"/>
                <w:color w:val="000000"/>
              </w:rPr>
              <w:t>O Coordenador Carlos Eduardo Pedone solicita que sejam monitorados os encaminhamentos das reuniões, sendo retomados a cada reunião. Este item será</w:t>
            </w:r>
            <w:r w:rsidR="00E0034E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 w:rsidRPr="00403F91">
              <w:rPr>
                <w:rFonts w:asciiTheme="majorHAnsi" w:eastAsia="Times New Roman" w:hAnsiTheme="majorHAnsi" w:cs="Times New Roman"/>
                <w:color w:val="000000"/>
              </w:rPr>
              <w:t xml:space="preserve"> permanentemente</w:t>
            </w:r>
            <w:r w:rsidR="00E0034E">
              <w:rPr>
                <w:rFonts w:asciiTheme="majorHAnsi" w:eastAsia="Times New Roman" w:hAnsiTheme="majorHAnsi" w:cs="Times New Roman"/>
                <w:color w:val="000000"/>
              </w:rPr>
              <w:t>,</w:t>
            </w:r>
            <w:r w:rsidRPr="00403F91">
              <w:rPr>
                <w:rFonts w:asciiTheme="majorHAnsi" w:eastAsia="Times New Roman" w:hAnsiTheme="majorHAnsi" w:cs="Times New Roman"/>
                <w:color w:val="000000"/>
              </w:rPr>
              <w:t xml:space="preserve"> o segundo item da pauta.</w:t>
            </w:r>
          </w:p>
          <w:p w:rsidR="00AC26F1" w:rsidRPr="00403F91" w:rsidRDefault="001A23D4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03F91">
              <w:rPr>
                <w:rFonts w:asciiTheme="majorHAnsi" w:eastAsia="Times New Roman" w:hAnsiTheme="majorHAnsi" w:cs="Times New Roman"/>
                <w:color w:val="000000"/>
              </w:rPr>
              <w:t xml:space="preserve">O Conselheiro </w:t>
            </w:r>
            <w:r w:rsidR="00EB247C" w:rsidRPr="00403F91">
              <w:rPr>
                <w:rFonts w:asciiTheme="majorHAnsi" w:eastAsia="Times New Roman" w:hAnsiTheme="majorHAnsi" w:cs="Times New Roman"/>
                <w:color w:val="000000"/>
              </w:rPr>
              <w:t>E</w:t>
            </w:r>
            <w:r w:rsidRPr="00403F91">
              <w:rPr>
                <w:rFonts w:asciiTheme="majorHAnsi" w:eastAsia="Times New Roman" w:hAnsiTheme="majorHAnsi" w:cs="Times New Roman"/>
                <w:color w:val="000000"/>
              </w:rPr>
              <w:t xml:space="preserve">nio </w:t>
            </w:r>
            <w:r w:rsidR="00E0034E" w:rsidRPr="007B3C0B">
              <w:rPr>
                <w:rFonts w:asciiTheme="majorHAnsi" w:hAnsiTheme="majorHAnsi" w:cs="Times New Roman"/>
              </w:rPr>
              <w:t xml:space="preserve">von Marées </w:t>
            </w:r>
            <w:r w:rsidR="00E0034E">
              <w:rPr>
                <w:rFonts w:asciiTheme="majorHAnsi" w:hAnsiTheme="majorHAnsi" w:cs="Times New Roman"/>
              </w:rPr>
              <w:t xml:space="preserve"> </w:t>
            </w:r>
            <w:r w:rsidRPr="00403F91">
              <w:rPr>
                <w:rFonts w:asciiTheme="majorHAnsi" w:eastAsia="Times New Roman" w:hAnsiTheme="majorHAnsi" w:cs="Times New Roman"/>
                <w:color w:val="000000"/>
              </w:rPr>
              <w:t>sugere que conste no site do CAU/RS as dificuldades trazidas pelos Conselheiros para as reuniões e os devidos encaminhamentos dados pela Comissão</w:t>
            </w:r>
            <w:r w:rsidR="002420D8" w:rsidRPr="00403F91">
              <w:rPr>
                <w:rFonts w:asciiTheme="majorHAnsi" w:eastAsia="Times New Roman" w:hAnsiTheme="majorHAnsi" w:cs="Times New Roman"/>
                <w:color w:val="000000"/>
              </w:rPr>
              <w:t>, dando transparência às</w:t>
            </w:r>
            <w:r w:rsidR="00DA30E6" w:rsidRPr="00403F91">
              <w:rPr>
                <w:rFonts w:asciiTheme="majorHAnsi" w:eastAsia="Times New Roman" w:hAnsiTheme="majorHAnsi" w:cs="Times New Roman"/>
                <w:color w:val="000000"/>
              </w:rPr>
              <w:t xml:space="preserve"> atividades dos Conselheiros e retorno aos arquitetos e urbanistas.</w:t>
            </w:r>
          </w:p>
        </w:tc>
      </w:tr>
      <w:tr w:rsidR="009E47A2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9E47A2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403F91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403F91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03F91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Criar a planilha de encaminhamentos da Comissão, informando o tema, o Conselheiro solicitante, o encaminhamento dado pela Comissão e o andamento do tema.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403F91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Carla Lago</w:t>
            </w:r>
            <w:r w:rsidR="00E0034E"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403F91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403F91" w:rsidRDefault="00403F91" w:rsidP="0066688F">
            <w:pPr>
              <w:spacing w:line="276" w:lineRule="auto"/>
              <w:ind w:right="-1"/>
            </w:pPr>
            <w:r w:rsidRPr="00403F91">
              <w:rPr>
                <w:rFonts w:asciiTheme="majorHAnsi" w:hAnsiTheme="majorHAnsi" w:cs="Times New Roman"/>
              </w:rPr>
              <w:t>Conselheiro Enio von Marées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03F91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Incluir as informações solicitadas no site do CAU/RS.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403F91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Maríndia Girardello</w:t>
            </w:r>
            <w:r w:rsidR="00E0034E"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Termos de Cooperação Técnica.</w:t>
            </w:r>
          </w:p>
        </w:tc>
      </w:tr>
      <w:tr w:rsidR="00403F91" w:rsidRPr="00403F91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403F91" w:rsidRPr="00403F91" w:rsidRDefault="00403F91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03F91">
              <w:rPr>
                <w:rFonts w:asciiTheme="majorHAnsi" w:eastAsia="Times New Roman" w:hAnsiTheme="majorHAnsi" w:cs="Times New Roman"/>
                <w:color w:val="000000"/>
              </w:rPr>
              <w:t>O Coordenador Carlos Eduardo Pedone informa ao Presidente Roberto Py que foi solicitado um levantamento dos Termos de Cooperação Técnica enviados às Prefeituras e que, até que haja esse relatório, a Comissão aguardará para propor qualquer novo acordo.</w:t>
            </w:r>
          </w:p>
          <w:p w:rsidR="00403F91" w:rsidRPr="00403F91" w:rsidRDefault="00403F91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 w:rsidRPr="00403F91">
              <w:rPr>
                <w:rFonts w:asciiTheme="majorHAnsi" w:eastAsia="Times New Roman" w:hAnsiTheme="majorHAnsi" w:cs="Times New Roman"/>
                <w:color w:val="000000"/>
              </w:rPr>
              <w:t>O assunto será retomado na próxima reunião da Comissão.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403F91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03F91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403F91" w:rsidRDefault="00403F91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Verificar o andamento do relatório dos Termos de Cooperação Técnica propostos.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91" w:rsidRPr="00403F91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Maríndia Girardello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Revisão do Planejamento.</w:t>
            </w:r>
          </w:p>
        </w:tc>
      </w:tr>
      <w:tr w:rsidR="00403F91" w:rsidRPr="009178D3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403F91" w:rsidRPr="00403F91" w:rsidRDefault="00403F91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403F91">
              <w:rPr>
                <w:rFonts w:asciiTheme="majorHAnsi" w:eastAsia="BatangChe" w:hAnsiTheme="majorHAnsi" w:cs="Times New Roman"/>
              </w:rPr>
              <w:t xml:space="preserve">O Coordenador </w:t>
            </w:r>
            <w:r w:rsidR="00E0034E">
              <w:rPr>
                <w:rFonts w:asciiTheme="majorHAnsi" w:eastAsia="BatangChe" w:hAnsiTheme="majorHAnsi" w:cs="Times New Roman"/>
              </w:rPr>
              <w:t xml:space="preserve">Carlos Eduardo Pedone </w:t>
            </w:r>
            <w:r w:rsidRPr="00403F91">
              <w:rPr>
                <w:rFonts w:asciiTheme="majorHAnsi" w:eastAsia="BatangChe" w:hAnsiTheme="majorHAnsi" w:cs="Times New Roman"/>
              </w:rPr>
              <w:t xml:space="preserve">esclarece que a Comissão solicitou a retomada do </w:t>
            </w:r>
            <w:r w:rsidRPr="00403F91">
              <w:rPr>
                <w:rFonts w:asciiTheme="majorHAnsi" w:eastAsia="BatangChe" w:hAnsiTheme="majorHAnsi" w:cs="Times New Roman"/>
              </w:rPr>
              <w:lastRenderedPageBreak/>
              <w:t>Planejamento devido à alteração na formação da Comissão, a fim de que haja uma distribuição das atividades e responsabilidades entre os novos membros.</w:t>
            </w:r>
          </w:p>
          <w:p w:rsidR="00403F91" w:rsidRPr="009178D3" w:rsidRDefault="00403F91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 xml:space="preserve">A Conselheira Rosana </w:t>
            </w:r>
            <w:r w:rsidR="00E0034E">
              <w:rPr>
                <w:rFonts w:asciiTheme="majorHAnsi" w:eastAsia="BatangChe" w:hAnsiTheme="majorHAnsi" w:cs="Times New Roman"/>
              </w:rPr>
              <w:t xml:space="preserve">Oppitz </w:t>
            </w:r>
            <w:r w:rsidRPr="009178D3">
              <w:rPr>
                <w:rFonts w:asciiTheme="majorHAnsi" w:eastAsia="BatangChe" w:hAnsiTheme="majorHAnsi" w:cs="Times New Roman"/>
              </w:rPr>
              <w:t>solicita que o Plano seja enviado por e-mail para ser pautado na 121ª reunião da Comissão</w:t>
            </w:r>
            <w:r>
              <w:rPr>
                <w:rFonts w:asciiTheme="majorHAnsi" w:eastAsia="BatangChe" w:hAnsiTheme="majorHAnsi" w:cs="Times New Roman"/>
              </w:rPr>
              <w:t>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Cons. Rosana Oppitz</w:t>
            </w:r>
          </w:p>
        </w:tc>
        <w:tc>
          <w:tcPr>
            <w:tcW w:w="4857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Enviar o Plano de Ação por e-mail para a Comissão e pautar na 121ª reunião.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Carla Lago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Processos de aquisição de EPIs.</w:t>
            </w:r>
          </w:p>
        </w:tc>
      </w:tr>
      <w:tr w:rsidR="00403F91" w:rsidRPr="009178D3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403F91" w:rsidRPr="009178D3" w:rsidRDefault="00403F91" w:rsidP="0066688F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 xml:space="preserve">O Gerente-Geral </w:t>
            </w:r>
            <w:r>
              <w:rPr>
                <w:rFonts w:asciiTheme="majorHAnsi" w:eastAsia="BatangChe" w:hAnsiTheme="majorHAnsi" w:cs="Times New Roman"/>
              </w:rPr>
              <w:t xml:space="preserve">Fausto Loureiro </w:t>
            </w:r>
            <w:r w:rsidRPr="009178D3">
              <w:rPr>
                <w:rFonts w:asciiTheme="majorHAnsi" w:eastAsia="BatangChe" w:hAnsiTheme="majorHAnsi" w:cs="Times New Roman"/>
              </w:rPr>
              <w:t xml:space="preserve">esclarece que o processo </w:t>
            </w:r>
            <w:r>
              <w:rPr>
                <w:rFonts w:asciiTheme="majorHAnsi" w:eastAsia="BatangChe" w:hAnsiTheme="majorHAnsi" w:cs="Times New Roman"/>
              </w:rPr>
              <w:t xml:space="preserve">administrativo para aquisição de EPIs </w:t>
            </w:r>
            <w:r w:rsidRPr="009178D3">
              <w:rPr>
                <w:rFonts w:asciiTheme="majorHAnsi" w:eastAsia="BatangChe" w:hAnsiTheme="majorHAnsi" w:cs="Times New Roman"/>
              </w:rPr>
              <w:t xml:space="preserve">está com a Presidência para </w:t>
            </w:r>
            <w:r>
              <w:rPr>
                <w:rFonts w:asciiTheme="majorHAnsi" w:eastAsia="BatangChe" w:hAnsiTheme="majorHAnsi" w:cs="Times New Roman"/>
              </w:rPr>
              <w:t xml:space="preserve">avaliação e </w:t>
            </w:r>
            <w:r w:rsidRPr="009178D3">
              <w:rPr>
                <w:rFonts w:asciiTheme="majorHAnsi" w:eastAsia="BatangChe" w:hAnsiTheme="majorHAnsi" w:cs="Times New Roman"/>
              </w:rPr>
              <w:t xml:space="preserve">encaminhamento. Sugere que seja produzida uma carteira de identificação </w:t>
            </w:r>
            <w:r>
              <w:rPr>
                <w:rFonts w:asciiTheme="majorHAnsi" w:eastAsia="BatangChe" w:hAnsiTheme="majorHAnsi" w:cs="Times New Roman"/>
              </w:rPr>
              <w:t xml:space="preserve">para os </w:t>
            </w:r>
            <w:r w:rsidRPr="009178D3">
              <w:rPr>
                <w:rFonts w:asciiTheme="majorHAnsi" w:eastAsia="BatangChe" w:hAnsiTheme="majorHAnsi" w:cs="Times New Roman"/>
              </w:rPr>
              <w:t>fisca</w:t>
            </w:r>
            <w:r>
              <w:rPr>
                <w:rFonts w:asciiTheme="majorHAnsi" w:eastAsia="BatangChe" w:hAnsiTheme="majorHAnsi" w:cs="Times New Roman"/>
              </w:rPr>
              <w:t>is</w:t>
            </w:r>
            <w:r w:rsidRPr="009178D3">
              <w:rPr>
                <w:rFonts w:asciiTheme="majorHAnsi" w:eastAsia="BatangChe" w:hAnsiTheme="majorHAnsi" w:cs="Times New Roman"/>
              </w:rPr>
              <w:t>.</w:t>
            </w:r>
            <w:r>
              <w:rPr>
                <w:rFonts w:asciiTheme="majorHAnsi" w:eastAsia="BatangChe" w:hAnsiTheme="majorHAnsi" w:cs="Times New Roman"/>
              </w:rPr>
              <w:t xml:space="preserve"> O Sr. Fausto </w:t>
            </w:r>
            <w:r w:rsidRPr="009178D3">
              <w:rPr>
                <w:rFonts w:asciiTheme="majorHAnsi" w:eastAsia="BatangChe" w:hAnsiTheme="majorHAnsi" w:cs="Times New Roman"/>
              </w:rPr>
              <w:t>verificará o modelo e encaminhará à Comissão</w:t>
            </w:r>
            <w:r>
              <w:rPr>
                <w:rFonts w:asciiTheme="majorHAnsi" w:eastAsia="BatangChe" w:hAnsiTheme="majorHAnsi" w:cs="Times New Roman"/>
              </w:rPr>
              <w:t xml:space="preserve"> para avaliação</w:t>
            </w:r>
            <w:r w:rsidRPr="009178D3">
              <w:rPr>
                <w:rFonts w:asciiTheme="majorHAnsi" w:eastAsia="BatangChe" w:hAnsiTheme="majorHAnsi" w:cs="Times New Roman"/>
              </w:rPr>
              <w:t>.</w:t>
            </w:r>
          </w:p>
          <w:p w:rsidR="00403F91" w:rsidRPr="009178D3" w:rsidRDefault="00403F91" w:rsidP="00EC06B2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 xml:space="preserve">O Cons. Oritz </w:t>
            </w:r>
            <w:r w:rsidR="009F45A4">
              <w:rPr>
                <w:rFonts w:asciiTheme="majorHAnsi" w:eastAsia="BatangChe" w:hAnsiTheme="majorHAnsi" w:cs="Times New Roman"/>
              </w:rPr>
              <w:t xml:space="preserve">Adriano </w:t>
            </w:r>
            <w:r w:rsidR="009F45A4" w:rsidRPr="007B3C0B">
              <w:rPr>
                <w:rFonts w:asciiTheme="majorHAnsi" w:hAnsiTheme="majorHAnsi" w:cs="Times New Roman"/>
              </w:rPr>
              <w:t>Adams de Campos</w:t>
            </w:r>
            <w:r w:rsidR="009F45A4" w:rsidRPr="009178D3">
              <w:rPr>
                <w:rFonts w:asciiTheme="majorHAnsi" w:eastAsia="BatangChe" w:hAnsiTheme="majorHAnsi" w:cs="Times New Roman"/>
              </w:rPr>
              <w:t xml:space="preserve"> </w:t>
            </w:r>
            <w:r w:rsidRPr="009178D3">
              <w:rPr>
                <w:rFonts w:asciiTheme="majorHAnsi" w:eastAsia="BatangChe" w:hAnsiTheme="majorHAnsi" w:cs="Times New Roman"/>
              </w:rPr>
              <w:t xml:space="preserve">sugere que </w:t>
            </w:r>
            <w:r w:rsidR="0066688F" w:rsidRPr="009178D3">
              <w:rPr>
                <w:rFonts w:asciiTheme="majorHAnsi" w:eastAsia="BatangChe" w:hAnsiTheme="majorHAnsi" w:cs="Times New Roman"/>
              </w:rPr>
              <w:t>sejam</w:t>
            </w:r>
            <w:r w:rsidRPr="009178D3">
              <w:rPr>
                <w:rFonts w:asciiTheme="majorHAnsi" w:eastAsia="BatangChe" w:hAnsiTheme="majorHAnsi" w:cs="Times New Roman"/>
              </w:rPr>
              <w:t xml:space="preserve"> averiguado</w:t>
            </w:r>
            <w:r w:rsidR="0066688F">
              <w:rPr>
                <w:rFonts w:asciiTheme="majorHAnsi" w:eastAsia="BatangChe" w:hAnsiTheme="majorHAnsi" w:cs="Times New Roman"/>
              </w:rPr>
              <w:t>s</w:t>
            </w:r>
            <w:r w:rsidRPr="009178D3">
              <w:rPr>
                <w:rFonts w:asciiTheme="majorHAnsi" w:eastAsia="BatangChe" w:hAnsiTheme="majorHAnsi" w:cs="Times New Roman"/>
              </w:rPr>
              <w:t xml:space="preserve"> nas NR do Ministério </w:t>
            </w:r>
            <w:r w:rsidR="00EC06B2">
              <w:rPr>
                <w:rFonts w:asciiTheme="majorHAnsi" w:eastAsia="BatangChe" w:hAnsiTheme="majorHAnsi" w:cs="Times New Roman"/>
              </w:rPr>
              <w:t>do Trabalho (Plano de Proteção de Riscos</w:t>
            </w:r>
            <w:r w:rsidRPr="009178D3">
              <w:rPr>
                <w:rFonts w:asciiTheme="majorHAnsi" w:eastAsia="BatangChe" w:hAnsiTheme="majorHAnsi" w:cs="Times New Roman"/>
              </w:rPr>
              <w:t xml:space="preserve"> Ambientais) os equipamentos necessários para fiscais externos.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Oritz </w:t>
            </w:r>
            <w:r w:rsidRPr="007B3C0B">
              <w:rPr>
                <w:rFonts w:asciiTheme="majorHAnsi" w:hAnsiTheme="majorHAnsi" w:cs="Times New Roman"/>
              </w:rPr>
              <w:t>Adriano Adams de Campos</w:t>
            </w:r>
          </w:p>
        </w:tc>
        <w:tc>
          <w:tcPr>
            <w:tcW w:w="4857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B846A0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Verificar as N</w:t>
            </w:r>
            <w:r w:rsidR="00403F91">
              <w:rPr>
                <w:rFonts w:asciiTheme="majorHAnsi" w:hAnsiTheme="majorHAnsi" w:cs="Times New Roman"/>
              </w:rPr>
              <w:t>R.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Maríndia Girardello</w:t>
            </w:r>
          </w:p>
        </w:tc>
      </w:tr>
      <w:tr w:rsidR="00403F91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857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Pesquisar e apresentar modelo de carteira de identificação.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Fausto Loureiro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Apresentação da planilha da Resolução 91 para publicação.</w:t>
            </w:r>
          </w:p>
        </w:tc>
      </w:tr>
      <w:tr w:rsidR="00403F91" w:rsidRPr="009178D3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3F91" w:rsidRPr="009178D3" w:rsidRDefault="00403F91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>A Gerent</w:t>
            </w:r>
            <w:r>
              <w:rPr>
                <w:rFonts w:asciiTheme="majorHAnsi" w:eastAsia="BatangChe" w:hAnsiTheme="majorHAnsi" w:cs="Times New Roman"/>
              </w:rPr>
              <w:t>e Maríndia</w:t>
            </w:r>
            <w:r w:rsidR="009F45A4">
              <w:rPr>
                <w:rFonts w:asciiTheme="majorHAnsi" w:eastAsia="BatangChe" w:hAnsiTheme="majorHAnsi" w:cs="Times New Roman"/>
              </w:rPr>
              <w:t xml:space="preserve"> Girardello</w:t>
            </w:r>
            <w:r>
              <w:rPr>
                <w:rFonts w:asciiTheme="majorHAnsi" w:eastAsia="BatangChe" w:hAnsiTheme="majorHAnsi" w:cs="Times New Roman"/>
              </w:rPr>
              <w:t xml:space="preserve"> apresenta o Quadro Comparativo das alterações propostas pelas Resoluções 91 e 93/015 a ser publicado.</w:t>
            </w:r>
            <w:r w:rsidRPr="009178D3">
              <w:rPr>
                <w:rFonts w:asciiTheme="majorHAnsi" w:eastAsia="BatangChe" w:hAnsiTheme="majorHAnsi" w:cs="Times New Roman"/>
              </w:rPr>
              <w:t xml:space="preserve"> Sem ressalvas, </w:t>
            </w:r>
            <w:r>
              <w:rPr>
                <w:rFonts w:asciiTheme="majorHAnsi" w:eastAsia="BatangChe" w:hAnsiTheme="majorHAnsi" w:cs="Times New Roman"/>
              </w:rPr>
              <w:t xml:space="preserve">a Comissão </w:t>
            </w:r>
            <w:r w:rsidRPr="009178D3">
              <w:rPr>
                <w:rFonts w:asciiTheme="majorHAnsi" w:eastAsia="BatangChe" w:hAnsiTheme="majorHAnsi" w:cs="Times New Roman"/>
              </w:rPr>
              <w:t>autoriza a publicação.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857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857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Encaminhar a publicação da planilha com as alterações e impactos da Resolução 91.</w:t>
            </w:r>
          </w:p>
        </w:tc>
        <w:tc>
          <w:tcPr>
            <w:tcW w:w="226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Maríndia Girardello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Processos de Direito Autoral.</w:t>
            </w:r>
          </w:p>
        </w:tc>
      </w:tr>
      <w:tr w:rsidR="00403F91" w:rsidRPr="009178D3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403F91" w:rsidRPr="009178D3" w:rsidRDefault="00403F91" w:rsidP="0066688F">
            <w:pPr>
              <w:pStyle w:val="PargrafodaLista"/>
              <w:numPr>
                <w:ilvl w:val="0"/>
                <w:numId w:val="46"/>
              </w:numPr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Processo SICCAU nº 215754/2015 / RDA nº 292</w:t>
            </w:r>
            <w:r>
              <w:rPr>
                <w:rFonts w:asciiTheme="majorHAnsi" w:hAnsiTheme="majorHAnsi"/>
              </w:rPr>
              <w:t>:</w:t>
            </w:r>
          </w:p>
          <w:p w:rsidR="00403F91" w:rsidRPr="009178D3" w:rsidRDefault="00403F91" w:rsidP="0066688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Interessado: Pedro Alcântara Xavier Brochado (CAU nº A18766-6)</w:t>
            </w:r>
          </w:p>
          <w:p w:rsidR="00403F91" w:rsidRPr="009178D3" w:rsidRDefault="00403F91" w:rsidP="0066688F">
            <w:pPr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A Gerente Técnica</w:t>
            </w:r>
            <w:r w:rsidR="009F45A4">
              <w:rPr>
                <w:rFonts w:asciiTheme="majorHAnsi" w:hAnsiTheme="majorHAnsi"/>
              </w:rPr>
              <w:t xml:space="preserve"> Maríndia Girardello</w:t>
            </w:r>
            <w:r w:rsidRPr="009178D3">
              <w:rPr>
                <w:rFonts w:asciiTheme="majorHAnsi" w:hAnsiTheme="majorHAnsi"/>
              </w:rPr>
              <w:t xml:space="preserve"> relata o processo e orienta que seja solicitada RRT, a motivação para a realização </w:t>
            </w:r>
            <w:r>
              <w:rPr>
                <w:rFonts w:asciiTheme="majorHAnsi" w:hAnsiTheme="majorHAnsi"/>
              </w:rPr>
              <w:t xml:space="preserve">do projeto </w:t>
            </w:r>
            <w:r w:rsidRPr="009178D3">
              <w:rPr>
                <w:rFonts w:asciiTheme="majorHAnsi" w:hAnsiTheme="majorHAnsi"/>
              </w:rPr>
              <w:t>e o certificado digital.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6"/>
              </w:numPr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>Processo SICCAU nº 183308/2014 / RDA nº 127</w:t>
            </w:r>
            <w:r>
              <w:rPr>
                <w:rFonts w:asciiTheme="majorHAnsi" w:eastAsia="BatangChe" w:hAnsiTheme="majorHAnsi" w:cs="Times New Roman"/>
              </w:rPr>
              <w:t>:</w:t>
            </w:r>
          </w:p>
          <w:p w:rsidR="00403F91" w:rsidRPr="009178D3" w:rsidRDefault="00403F91" w:rsidP="0066688F">
            <w:pPr>
              <w:pStyle w:val="PargrafodaLista"/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>Interessado: Franco Favero Barella (CAU nº A54912-6)</w:t>
            </w:r>
          </w:p>
          <w:p w:rsidR="00403F91" w:rsidRPr="009178D3" w:rsidRDefault="00403F91" w:rsidP="0066688F">
            <w:pPr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 xml:space="preserve">A Gerente Técnica </w:t>
            </w:r>
            <w:r w:rsidR="009F45A4">
              <w:rPr>
                <w:rFonts w:asciiTheme="majorHAnsi" w:hAnsiTheme="majorHAnsi"/>
              </w:rPr>
              <w:t>Maríndia Girardello</w:t>
            </w:r>
            <w:r w:rsidR="009F45A4" w:rsidRPr="009178D3">
              <w:rPr>
                <w:rFonts w:asciiTheme="majorHAnsi" w:hAnsiTheme="majorHAnsi"/>
              </w:rPr>
              <w:t xml:space="preserve"> </w:t>
            </w:r>
            <w:r w:rsidRPr="009178D3">
              <w:rPr>
                <w:rFonts w:asciiTheme="majorHAnsi" w:hAnsiTheme="majorHAnsi"/>
              </w:rPr>
              <w:t xml:space="preserve">informa que a planta de implantação não tem cotas, e o requerente não informa na solicitação a fundamentação para a realização do projeto. Após, apresenta as hipóteses de voto. A Cons. Rosana </w:t>
            </w:r>
            <w:r w:rsidR="009F45A4">
              <w:rPr>
                <w:rFonts w:asciiTheme="majorHAnsi" w:hAnsiTheme="majorHAnsi"/>
              </w:rPr>
              <w:t xml:space="preserve">Oppitz </w:t>
            </w:r>
            <w:r w:rsidRPr="009178D3">
              <w:rPr>
                <w:rFonts w:asciiTheme="majorHAnsi" w:hAnsiTheme="majorHAnsi"/>
              </w:rPr>
              <w:t xml:space="preserve">questiona sobre a possibilidade de um arquiteto solicitar o registro autoral de uma obra em espaço público e que, futuramente, a Prefeitura, por exemplo, não poderia realizar um projeto para aquele espaço. 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6"/>
              </w:numPr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hAnsiTheme="majorHAnsi"/>
                <w:b/>
              </w:rPr>
            </w:pPr>
            <w:r w:rsidRPr="009178D3">
              <w:rPr>
                <w:rFonts w:asciiTheme="majorHAnsi" w:eastAsia="BatangChe" w:hAnsiTheme="majorHAnsi" w:cs="Times New Roman"/>
              </w:rPr>
              <w:t>Processo SICCAU nº 205584/2014 / RDA nº 248</w:t>
            </w:r>
            <w:r>
              <w:rPr>
                <w:rFonts w:asciiTheme="majorHAnsi" w:eastAsia="BatangChe" w:hAnsiTheme="majorHAnsi" w:cs="Times New Roman"/>
              </w:rPr>
              <w:t>:</w:t>
            </w:r>
          </w:p>
          <w:p w:rsidR="00403F91" w:rsidRPr="009178D3" w:rsidRDefault="00403F91" w:rsidP="0066688F">
            <w:pPr>
              <w:spacing w:line="276" w:lineRule="auto"/>
              <w:ind w:right="-1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>Interessado: Marcelo Menezes de Araújo (CAU nº A59618-3)</w:t>
            </w:r>
          </w:p>
          <w:p w:rsidR="00403F91" w:rsidRPr="009178D3" w:rsidRDefault="00403F91" w:rsidP="0066688F">
            <w:pPr>
              <w:tabs>
                <w:tab w:val="left" w:pos="317"/>
              </w:tabs>
              <w:spacing w:line="276" w:lineRule="auto"/>
              <w:ind w:left="34" w:hanging="34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 xml:space="preserve">Tendo em vista as diferentes situações apresentadas, a Comissão resolve </w:t>
            </w:r>
            <w:r>
              <w:rPr>
                <w:rFonts w:asciiTheme="majorHAnsi" w:hAnsiTheme="majorHAnsi"/>
              </w:rPr>
              <w:t xml:space="preserve">solicitar à assessoria jurídica a redação de uma </w:t>
            </w:r>
            <w:r w:rsidRPr="009178D3">
              <w:rPr>
                <w:rFonts w:asciiTheme="majorHAnsi" w:hAnsiTheme="majorHAnsi"/>
              </w:rPr>
              <w:t xml:space="preserve">Deliberação, com vistas a instruir a admissão do processo, considerando: 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 xml:space="preserve">No caso de intervenção de área: cópia da escritura da propriedade e, em caso de propriedade compartilhada ou de terceiros, autorização de realização de projeto na localidade informada no projeto. 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No caso de não intervenção: declaração do requerente, com firma reconhecida por semelhança, de compromisso de não intervenção.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Declaração do autor e coautores, com firma reconhecida por semelhança, de conformidade com a NBR 13.532.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Certificação digital do projeto.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RRT do autor e coautores.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/>
              </w:rPr>
            </w:pPr>
            <w:r w:rsidRPr="009178D3">
              <w:rPr>
                <w:rFonts w:asciiTheme="majorHAnsi" w:hAnsiTheme="majorHAnsi"/>
              </w:rPr>
              <w:t>Declaração de motivação do direito autoral.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8"/>
              </w:num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/>
              </w:rPr>
              <w:t>Estabelecimento de prazo para cumprimento das diligências, acarretando o arquivamento do processo no descumprimento do prazo.</w:t>
            </w:r>
          </w:p>
          <w:p w:rsidR="00403F91" w:rsidRDefault="00403F91" w:rsidP="0066688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A Comissão orienta a assessoria jurídica a observar também a Lei de Registro Intelectual na redação da Deliberação.</w:t>
            </w:r>
          </w:p>
          <w:p w:rsidR="00403F91" w:rsidRPr="009178D3" w:rsidRDefault="00403F91" w:rsidP="0066688F">
            <w:pPr>
              <w:tabs>
                <w:tab w:val="left" w:pos="317"/>
              </w:tabs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Após a homologação da Deliberação, os processos acima relatados serão retomados para os devidos encaminhamentos.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7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403F91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9F45A4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Redigir a minuta da Deliberação sobre Direito Autoral.</w:t>
            </w:r>
          </w:p>
        </w:tc>
        <w:tc>
          <w:tcPr>
            <w:tcW w:w="2741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Viera Maciel</w:t>
            </w:r>
            <w:r w:rsidR="009F45A4"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Processo 129097/2014 – Retorno do CAU/BR sobre direito adquirido.</w:t>
            </w:r>
          </w:p>
        </w:tc>
      </w:tr>
      <w:tr w:rsidR="00403F91" w:rsidRPr="009178D3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403F91" w:rsidRPr="009178D3" w:rsidRDefault="00403F91" w:rsidP="0066688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</w:t>
            </w:r>
            <w:r w:rsidRPr="009178D3">
              <w:rPr>
                <w:rFonts w:asciiTheme="majorHAnsi" w:eastAsia="BatangChe" w:hAnsiTheme="majorHAnsi" w:cs="Times New Roman"/>
              </w:rPr>
              <w:t xml:space="preserve"> processo em questão retornou do CAU/BR com ofício destinado à Presidência do CAU/RS, esclarecendo que arquitetos e urbanistas não possuem competência para realizar projetos nessa área, não podendo ser responsáveis técnicos, conforme consta na Resolução </w:t>
            </w:r>
            <w:r>
              <w:rPr>
                <w:rFonts w:asciiTheme="majorHAnsi" w:eastAsia="BatangChe" w:hAnsiTheme="majorHAnsi" w:cs="Times New Roman"/>
              </w:rPr>
              <w:t xml:space="preserve">CAU/BR nº </w:t>
            </w:r>
            <w:r w:rsidRPr="009178D3">
              <w:rPr>
                <w:rFonts w:asciiTheme="majorHAnsi" w:eastAsia="BatangChe" w:hAnsiTheme="majorHAnsi" w:cs="Times New Roman"/>
              </w:rPr>
              <w:t>21.</w:t>
            </w:r>
          </w:p>
          <w:p w:rsidR="00403F91" w:rsidRPr="009178D3" w:rsidRDefault="00403F91" w:rsidP="0066688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>Mediante orientação do CAU/BR, a Comissão solicita que seja feito parecer sobre direito adquirido das atribuições anteriormente reconhecidas no CREA. Tal parecer, acompanhado de oficio, será enviado posteriormente ao CAU/BR.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2D2ECD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D" w:rsidRPr="009E47A2" w:rsidRDefault="002D2EC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D" w:rsidRPr="009E47A2" w:rsidRDefault="002D2EC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7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D" w:rsidRPr="009E47A2" w:rsidRDefault="002D2ECD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2D2ECD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2ECD" w:rsidRPr="009178D3" w:rsidRDefault="009F45A4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2ECD" w:rsidRPr="009178D3" w:rsidRDefault="002D2ECD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Redigir p</w:t>
            </w:r>
            <w:r>
              <w:rPr>
                <w:rFonts w:asciiTheme="majorHAnsi" w:hAnsiTheme="majorHAnsi" w:cs="Times New Roman"/>
              </w:rPr>
              <w:t>arecer jurídico sobre direito adquirido.</w:t>
            </w:r>
          </w:p>
        </w:tc>
        <w:tc>
          <w:tcPr>
            <w:tcW w:w="2741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2ECD" w:rsidRPr="009178D3" w:rsidRDefault="002D2ECD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Viera Maciel</w:t>
            </w:r>
            <w:r w:rsidR="009F45A4"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Prazo para encerramento de processo de interrupção de registro.</w:t>
            </w:r>
          </w:p>
        </w:tc>
      </w:tr>
      <w:tr w:rsidR="00403F91" w:rsidRPr="009178D3" w:rsidTr="00753D93">
        <w:trPr>
          <w:trHeight w:val="203"/>
        </w:trPr>
        <w:tc>
          <w:tcPr>
            <w:tcW w:w="9523" w:type="dxa"/>
            <w:gridSpan w:val="11"/>
            <w:shd w:val="clear" w:color="auto" w:fill="FFFFFF" w:themeFill="background1"/>
          </w:tcPr>
          <w:p w:rsidR="002D2ECD" w:rsidRDefault="00403F91" w:rsidP="0066688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De acordo com a Gerente Técnica Maríndia</w:t>
            </w:r>
            <w:r w:rsidR="009F45A4">
              <w:rPr>
                <w:rFonts w:asciiTheme="majorHAnsi" w:eastAsia="BatangChe" w:hAnsiTheme="majorHAnsi" w:cs="Times New Roman"/>
              </w:rPr>
              <w:t xml:space="preserve"> Girardello</w:t>
            </w:r>
            <w:r>
              <w:rPr>
                <w:rFonts w:asciiTheme="majorHAnsi" w:eastAsia="BatangChe" w:hAnsiTheme="majorHAnsi" w:cs="Times New Roman"/>
              </w:rPr>
              <w:t xml:space="preserve">, os processos de </w:t>
            </w:r>
            <w:r w:rsidRPr="009178D3">
              <w:rPr>
                <w:rFonts w:asciiTheme="majorHAnsi" w:eastAsia="BatangChe" w:hAnsiTheme="majorHAnsi" w:cs="Times New Roman"/>
              </w:rPr>
              <w:t>registro de pessoa jurídica</w:t>
            </w:r>
            <w:r>
              <w:rPr>
                <w:rFonts w:asciiTheme="majorHAnsi" w:eastAsia="BatangChe" w:hAnsiTheme="majorHAnsi" w:cs="Times New Roman"/>
              </w:rPr>
              <w:t xml:space="preserve"> cujas diligências </w:t>
            </w:r>
            <w:r w:rsidRPr="009178D3">
              <w:rPr>
                <w:rFonts w:asciiTheme="majorHAnsi" w:eastAsia="BatangChe" w:hAnsiTheme="majorHAnsi" w:cs="Times New Roman"/>
              </w:rPr>
              <w:t xml:space="preserve">não </w:t>
            </w:r>
            <w:r>
              <w:rPr>
                <w:rFonts w:asciiTheme="majorHAnsi" w:eastAsia="BatangChe" w:hAnsiTheme="majorHAnsi" w:cs="Times New Roman"/>
              </w:rPr>
              <w:t xml:space="preserve">são </w:t>
            </w:r>
            <w:r w:rsidRPr="009178D3">
              <w:rPr>
                <w:rFonts w:asciiTheme="majorHAnsi" w:eastAsia="BatangChe" w:hAnsiTheme="majorHAnsi" w:cs="Times New Roman"/>
              </w:rPr>
              <w:t>atendidas, ficam pendentes e não são arquivados ou encaminhados.</w:t>
            </w:r>
            <w:r>
              <w:rPr>
                <w:rFonts w:asciiTheme="majorHAnsi" w:eastAsia="BatangChe" w:hAnsiTheme="majorHAnsi" w:cs="Times New Roman"/>
              </w:rPr>
              <w:t xml:space="preserve"> Assim, solicita a Comissão que estabeleça um prazo para a tramitação desses processos. </w:t>
            </w:r>
            <w:r w:rsidRPr="009178D3">
              <w:rPr>
                <w:rFonts w:asciiTheme="majorHAnsi" w:eastAsia="BatangChe" w:hAnsiTheme="majorHAnsi" w:cs="Times New Roman"/>
              </w:rPr>
              <w:t>A Comissão sugere que após 60 dias sem cumprimento da diligência, o requerente receberá uma notificação e, caso não cumpra, será fiscalizado e autuado.</w:t>
            </w:r>
          </w:p>
          <w:p w:rsidR="0066688F" w:rsidRPr="009178D3" w:rsidRDefault="0066688F" w:rsidP="0066688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2D2ECD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D" w:rsidRPr="009E47A2" w:rsidRDefault="002D2EC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438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D" w:rsidRPr="009E47A2" w:rsidRDefault="002D2EC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7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ECD" w:rsidRPr="009E47A2" w:rsidRDefault="002D2ECD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2D2ECD" w:rsidRPr="009178D3" w:rsidTr="00753D93">
        <w:trPr>
          <w:trHeight w:val="236"/>
        </w:trPr>
        <w:tc>
          <w:tcPr>
            <w:tcW w:w="239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2ECD" w:rsidRPr="009178D3" w:rsidRDefault="009F45A4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38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2ECD" w:rsidRPr="009178D3" w:rsidRDefault="002D2ECD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Redigir Deliberação da Comissão sobre prazo para resposta à diligência nos processos de interrupção de registro.</w:t>
            </w:r>
          </w:p>
        </w:tc>
        <w:tc>
          <w:tcPr>
            <w:tcW w:w="2741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2ECD" w:rsidRDefault="002D2ECD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Viera Maciel</w:t>
            </w:r>
            <w:r w:rsidRPr="009178D3">
              <w:rPr>
                <w:rFonts w:asciiTheme="majorHAnsi" w:hAnsiTheme="majorHAnsi" w:cs="Times New Roman"/>
              </w:rPr>
              <w:t>.</w:t>
            </w:r>
          </w:p>
          <w:p w:rsidR="0066688F" w:rsidRPr="009178D3" w:rsidRDefault="0066688F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Análise de processos.</w:t>
            </w:r>
          </w:p>
        </w:tc>
      </w:tr>
      <w:tr w:rsidR="00403F91" w:rsidRPr="009178D3" w:rsidTr="00753D93">
        <w:trPr>
          <w:trHeight w:val="62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3F91" w:rsidRPr="00C62D06" w:rsidRDefault="00403F91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  <w:b/>
                <w:i/>
              </w:rPr>
            </w:pPr>
            <w:r w:rsidRPr="00C62D06">
              <w:rPr>
                <w:rFonts w:asciiTheme="majorHAnsi" w:eastAsia="BatangChe" w:hAnsiTheme="majorHAnsi" w:cs="Times New Roman"/>
                <w:b/>
                <w:i/>
              </w:rPr>
              <w:t>10.1 Processos de Fiscalização:</w:t>
            </w:r>
          </w:p>
          <w:p w:rsidR="00403F91" w:rsidRPr="00C62D06" w:rsidRDefault="00403F91" w:rsidP="0066688F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C62D06">
              <w:rPr>
                <w:rFonts w:asciiTheme="majorHAnsi" w:hAnsiTheme="majorHAnsi"/>
                <w:b/>
                <w:color w:val="000000"/>
              </w:rPr>
              <w:t>Notificação nº 1000014189 - Fabiana Dias da silva: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Deliberação nº 079/2015</w:t>
            </w:r>
            <w:r>
              <w:rPr>
                <w:rFonts w:asciiTheme="majorHAnsi" w:hAnsiTheme="majorHAnsi"/>
                <w:color w:val="000000"/>
              </w:rPr>
              <w:t>: delibera pela manutenção do Auto de Infração contra a arquiteta e urbanista e pela aplicação da respectiva multa, por infração capitulada nos artigos 45 e 50, da Lei 12.378/2010.</w:t>
            </w:r>
          </w:p>
          <w:p w:rsidR="00403F91" w:rsidRPr="00C62D06" w:rsidRDefault="00403F91" w:rsidP="0066688F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C62D06">
              <w:rPr>
                <w:rFonts w:asciiTheme="majorHAnsi" w:hAnsiTheme="majorHAnsi"/>
                <w:b/>
                <w:color w:val="000000"/>
              </w:rPr>
              <w:t xml:space="preserve">Notificação 1000016086 /Casas Toscanas (Denúncia 4546): 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Deliberação nº 093/2015</w:t>
            </w:r>
            <w:r>
              <w:rPr>
                <w:rFonts w:asciiTheme="majorHAnsi" w:hAnsiTheme="majorHAnsi"/>
                <w:color w:val="000000"/>
              </w:rPr>
              <w:t>: delibera pela manutenção do Auto de Infração contra a pessoa jurídica em questão, e pela aplicação da respectiva multa, por infração capitulada no artigo 7º da Lei 12.378/2010, e no art. 35, inciso X, da Resolução CAU/BR nº22, de 04 de maio de 2012.</w:t>
            </w:r>
          </w:p>
          <w:p w:rsidR="00403F91" w:rsidRPr="00C62D06" w:rsidRDefault="00403F91" w:rsidP="0066688F">
            <w:pPr>
              <w:pStyle w:val="PargrafodaLista"/>
              <w:numPr>
                <w:ilvl w:val="1"/>
                <w:numId w:val="49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C62D06">
              <w:rPr>
                <w:rFonts w:asciiTheme="majorHAnsi" w:hAnsiTheme="majorHAnsi"/>
                <w:b/>
                <w:i/>
                <w:color w:val="000000"/>
              </w:rPr>
              <w:t>Denúncias:</w:t>
            </w:r>
          </w:p>
          <w:p w:rsidR="00403F91" w:rsidRPr="00E01868" w:rsidRDefault="00403F91" w:rsidP="0066688F">
            <w:pPr>
              <w:pStyle w:val="PargrafodaLista"/>
              <w:numPr>
                <w:ilvl w:val="0"/>
                <w:numId w:val="50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E01868">
              <w:rPr>
                <w:rFonts w:asciiTheme="majorHAnsi" w:hAnsiTheme="majorHAnsi"/>
                <w:b/>
                <w:color w:val="000000"/>
              </w:rPr>
              <w:t xml:space="preserve">Denúncia </w:t>
            </w:r>
            <w:r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E01868">
              <w:rPr>
                <w:rFonts w:asciiTheme="majorHAnsi" w:hAnsiTheme="majorHAnsi"/>
                <w:b/>
                <w:color w:val="000000"/>
              </w:rPr>
              <w:t>4613</w:t>
            </w:r>
            <w:r>
              <w:rPr>
                <w:rFonts w:asciiTheme="majorHAnsi" w:hAnsiTheme="majorHAnsi"/>
                <w:b/>
                <w:color w:val="000000"/>
              </w:rPr>
              <w:t xml:space="preserve"> - </w:t>
            </w:r>
            <w:r w:rsidRPr="00E01868">
              <w:rPr>
                <w:rFonts w:asciiTheme="majorHAnsi" w:hAnsiTheme="majorHAnsi"/>
                <w:b/>
                <w:color w:val="000000"/>
              </w:rPr>
              <w:t>Click Síndico P</w:t>
            </w:r>
            <w:r>
              <w:rPr>
                <w:rFonts w:asciiTheme="majorHAnsi" w:hAnsiTheme="majorHAnsi"/>
                <w:b/>
                <w:color w:val="000000"/>
              </w:rPr>
              <w:t>ublicações LTDA: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A Cons. Rosana Oppitz sugere que seja feita uma minuta com as orientações solicitadas pelo denunciado, a parir da Cartilha de Condomínios, a ser enviada ao solicitante.</w:t>
            </w:r>
          </w:p>
          <w:p w:rsidR="00403F91" w:rsidRPr="009178D3" w:rsidRDefault="00403F91" w:rsidP="0066688F">
            <w:pPr>
              <w:pStyle w:val="PargrafodaLista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2D2ECD">
              <w:rPr>
                <w:rFonts w:asciiTheme="majorHAnsi" w:hAnsiTheme="majorHAnsi"/>
                <w:color w:val="000000"/>
              </w:rPr>
              <w:t xml:space="preserve">O Coordenador Carlos Eduardo Pedone solicita ao </w:t>
            </w:r>
            <w:r w:rsidRPr="002D2ECD">
              <w:rPr>
                <w:rFonts w:asciiTheme="majorHAnsi" w:eastAsia="BatangChe" w:hAnsiTheme="majorHAnsi" w:cs="Times New Roman"/>
              </w:rPr>
              <w:t>Arq. e Urb</w:t>
            </w:r>
            <w:r w:rsidRPr="002D2ECD">
              <w:rPr>
                <w:rFonts w:asciiTheme="majorHAnsi" w:hAnsiTheme="majorHAnsi"/>
                <w:color w:val="000000"/>
              </w:rPr>
              <w:t xml:space="preserve"> fiscal Cássio Lorensini a redação desse documento.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9178D3">
              <w:rPr>
                <w:rFonts w:asciiTheme="majorHAnsi" w:hAnsiTheme="majorHAnsi"/>
                <w:b/>
                <w:color w:val="000000"/>
              </w:rPr>
              <w:t xml:space="preserve">Denúncia </w:t>
            </w:r>
            <w:r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9178D3">
              <w:rPr>
                <w:rFonts w:asciiTheme="majorHAnsi" w:hAnsiTheme="majorHAnsi"/>
                <w:b/>
                <w:color w:val="000000"/>
              </w:rPr>
              <w:t>3428</w:t>
            </w:r>
            <w:r>
              <w:rPr>
                <w:rFonts w:asciiTheme="majorHAnsi" w:hAnsiTheme="majorHAnsi"/>
                <w:b/>
                <w:color w:val="000000"/>
              </w:rPr>
              <w:t xml:space="preserve"> - </w:t>
            </w:r>
            <w:r w:rsidRPr="009178D3">
              <w:rPr>
                <w:rFonts w:asciiTheme="majorHAnsi" w:hAnsiTheme="majorHAnsi"/>
                <w:b/>
                <w:color w:val="000000"/>
              </w:rPr>
              <w:t>Marjane Bertolom</w:t>
            </w:r>
            <w:r>
              <w:rPr>
                <w:rFonts w:asciiTheme="majorHAnsi" w:hAnsiTheme="majorHAnsi"/>
                <w:b/>
                <w:color w:val="000000"/>
              </w:rPr>
              <w:t>é Martins: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A Comissão decide pelo arquivamento do processo, tendo em vista que não houve fato gerador e provas materiais.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9178D3">
              <w:rPr>
                <w:rFonts w:asciiTheme="majorHAnsi" w:hAnsiTheme="majorHAnsi"/>
                <w:b/>
                <w:color w:val="000000"/>
              </w:rPr>
              <w:t xml:space="preserve">Denúncia </w:t>
            </w:r>
            <w:r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9178D3">
              <w:rPr>
                <w:rFonts w:asciiTheme="majorHAnsi" w:hAnsiTheme="majorHAnsi"/>
                <w:b/>
                <w:color w:val="000000"/>
              </w:rPr>
              <w:t>5051</w:t>
            </w:r>
            <w:r>
              <w:rPr>
                <w:rFonts w:asciiTheme="majorHAnsi" w:hAnsiTheme="majorHAnsi"/>
                <w:b/>
                <w:color w:val="000000"/>
              </w:rPr>
              <w:t xml:space="preserve"> – Engº </w:t>
            </w:r>
            <w:r w:rsidRPr="009178D3">
              <w:rPr>
                <w:rFonts w:asciiTheme="majorHAnsi" w:hAnsiTheme="majorHAnsi"/>
                <w:b/>
                <w:color w:val="000000"/>
              </w:rPr>
              <w:t>Carlos Celomar Brenner: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A Comissão decide pelo arquivamento do processo</w:t>
            </w:r>
            <w:r>
              <w:rPr>
                <w:rFonts w:asciiTheme="majorHAnsi" w:hAnsiTheme="majorHAnsi"/>
                <w:color w:val="000000"/>
              </w:rPr>
              <w:t>. T</w:t>
            </w:r>
            <w:r w:rsidRPr="009178D3">
              <w:rPr>
                <w:rFonts w:asciiTheme="majorHAnsi" w:hAnsiTheme="majorHAnsi"/>
                <w:color w:val="000000"/>
              </w:rPr>
              <w:t xml:space="preserve">endo em vista </w:t>
            </w:r>
            <w:r>
              <w:rPr>
                <w:rFonts w:asciiTheme="majorHAnsi" w:hAnsiTheme="majorHAnsi"/>
                <w:color w:val="000000"/>
              </w:rPr>
              <w:t>se</w:t>
            </w:r>
            <w:r w:rsidRPr="009178D3">
              <w:rPr>
                <w:rFonts w:asciiTheme="majorHAnsi" w:hAnsiTheme="majorHAnsi"/>
                <w:color w:val="000000"/>
              </w:rPr>
              <w:t xml:space="preserve"> trata</w:t>
            </w:r>
            <w:r>
              <w:rPr>
                <w:rFonts w:asciiTheme="majorHAnsi" w:hAnsiTheme="majorHAnsi"/>
                <w:color w:val="000000"/>
              </w:rPr>
              <w:t>r</w:t>
            </w:r>
            <w:r w:rsidRPr="009178D3">
              <w:rPr>
                <w:rFonts w:asciiTheme="majorHAnsi" w:hAnsiTheme="majorHAnsi"/>
                <w:color w:val="000000"/>
              </w:rPr>
              <w:t xml:space="preserve"> de denúncia a engenheiro</w:t>
            </w:r>
            <w:r>
              <w:rPr>
                <w:rFonts w:asciiTheme="majorHAnsi" w:hAnsiTheme="majorHAnsi"/>
                <w:color w:val="000000"/>
              </w:rPr>
              <w:t xml:space="preserve">, orienta que o processo seja encaminhado ao </w:t>
            </w:r>
            <w:r w:rsidRPr="009178D3">
              <w:rPr>
                <w:rFonts w:asciiTheme="majorHAnsi" w:hAnsiTheme="majorHAnsi"/>
                <w:color w:val="000000"/>
              </w:rPr>
              <w:t>CREARS</w:t>
            </w:r>
            <w:r>
              <w:rPr>
                <w:rFonts w:asciiTheme="majorHAnsi" w:hAnsiTheme="majorHAnsi"/>
                <w:color w:val="000000"/>
              </w:rPr>
              <w:t>, e o denunciante informado a respeito.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9178D3">
              <w:rPr>
                <w:rFonts w:asciiTheme="majorHAnsi" w:hAnsiTheme="majorHAnsi"/>
                <w:b/>
                <w:color w:val="000000"/>
              </w:rPr>
              <w:t xml:space="preserve">Denúncia </w:t>
            </w:r>
            <w:r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9178D3">
              <w:rPr>
                <w:rFonts w:asciiTheme="majorHAnsi" w:hAnsiTheme="majorHAnsi"/>
                <w:b/>
                <w:color w:val="000000"/>
              </w:rPr>
              <w:t>4851</w:t>
            </w:r>
            <w:r>
              <w:rPr>
                <w:rFonts w:asciiTheme="majorHAnsi" w:hAnsiTheme="majorHAnsi"/>
                <w:b/>
                <w:color w:val="000000"/>
              </w:rPr>
              <w:t xml:space="preserve"> – Arq. e Urb. </w:t>
            </w:r>
            <w:r w:rsidRPr="009178D3">
              <w:rPr>
                <w:rFonts w:asciiTheme="majorHAnsi" w:hAnsiTheme="majorHAnsi"/>
                <w:b/>
                <w:color w:val="000000"/>
              </w:rPr>
              <w:t>Júlio Pinheiro Pires: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A Comissão decide pelo arquivamento do processo, uma vez que o denunciado recolheu as RRTs e já deu baixa das mesmas, não estando mais prestando serviços para o denunciante.</w:t>
            </w:r>
          </w:p>
          <w:p w:rsidR="00403F91" w:rsidRPr="00E01868" w:rsidRDefault="00403F91" w:rsidP="0066688F">
            <w:pPr>
              <w:pStyle w:val="PargrafodaLista"/>
              <w:numPr>
                <w:ilvl w:val="0"/>
                <w:numId w:val="50"/>
              </w:numPr>
              <w:shd w:val="clear" w:color="auto" w:fill="FFFFFF"/>
              <w:spacing w:line="276" w:lineRule="auto"/>
              <w:rPr>
                <w:rFonts w:asciiTheme="majorHAnsi" w:hAnsiTheme="majorHAnsi"/>
                <w:color w:val="000000"/>
              </w:rPr>
            </w:pPr>
            <w:r w:rsidRPr="00E01868">
              <w:rPr>
                <w:rFonts w:asciiTheme="majorHAnsi" w:hAnsiTheme="majorHAnsi"/>
                <w:b/>
                <w:color w:val="000000"/>
              </w:rPr>
              <w:t xml:space="preserve">Denúncia </w:t>
            </w:r>
            <w:r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E01868">
              <w:rPr>
                <w:rFonts w:asciiTheme="majorHAnsi" w:hAnsiTheme="majorHAnsi"/>
                <w:b/>
                <w:color w:val="000000"/>
              </w:rPr>
              <w:t>4102</w:t>
            </w:r>
            <w:r>
              <w:rPr>
                <w:rFonts w:asciiTheme="majorHAnsi" w:hAnsiTheme="majorHAnsi"/>
                <w:b/>
                <w:color w:val="000000"/>
              </w:rPr>
              <w:t xml:space="preserve"> - </w:t>
            </w:r>
            <w:r w:rsidRPr="00E01868">
              <w:rPr>
                <w:rFonts w:asciiTheme="majorHAnsi" w:hAnsiTheme="majorHAnsi"/>
                <w:b/>
                <w:color w:val="000000"/>
              </w:rPr>
              <w:t xml:space="preserve">Arbo </w:t>
            </w:r>
            <w:r>
              <w:rPr>
                <w:rFonts w:asciiTheme="majorHAnsi" w:hAnsiTheme="majorHAnsi"/>
                <w:b/>
                <w:color w:val="000000"/>
              </w:rPr>
              <w:t>Arquitetura:</w:t>
            </w:r>
          </w:p>
          <w:p w:rsidR="00403F91" w:rsidRPr="009178D3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Será tratad</w:t>
            </w:r>
            <w:r>
              <w:rPr>
                <w:rFonts w:asciiTheme="majorHAnsi" w:hAnsiTheme="majorHAnsi"/>
                <w:color w:val="000000"/>
              </w:rPr>
              <w:t>a</w:t>
            </w:r>
            <w:r w:rsidRPr="009178D3">
              <w:rPr>
                <w:rFonts w:asciiTheme="majorHAnsi" w:hAnsiTheme="majorHAnsi"/>
                <w:color w:val="000000"/>
              </w:rPr>
              <w:t xml:space="preserve"> na próxima reunião.</w:t>
            </w:r>
          </w:p>
          <w:p w:rsidR="00403F91" w:rsidRPr="009178D3" w:rsidRDefault="00403F91" w:rsidP="0066688F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spacing w:line="276" w:lineRule="auto"/>
              <w:rPr>
                <w:rFonts w:asciiTheme="majorHAnsi" w:hAnsiTheme="majorHAnsi"/>
                <w:b/>
                <w:color w:val="000000"/>
              </w:rPr>
            </w:pPr>
            <w:r w:rsidRPr="009178D3">
              <w:rPr>
                <w:rFonts w:asciiTheme="majorHAnsi" w:hAnsiTheme="majorHAnsi"/>
                <w:b/>
                <w:color w:val="000000"/>
              </w:rPr>
              <w:t xml:space="preserve">Denúncia </w:t>
            </w:r>
            <w:r>
              <w:rPr>
                <w:rFonts w:asciiTheme="majorHAnsi" w:hAnsiTheme="majorHAnsi"/>
                <w:b/>
                <w:color w:val="000000"/>
              </w:rPr>
              <w:t xml:space="preserve">nº </w:t>
            </w:r>
            <w:r w:rsidRPr="009178D3">
              <w:rPr>
                <w:rFonts w:asciiTheme="majorHAnsi" w:hAnsiTheme="majorHAnsi"/>
                <w:b/>
                <w:color w:val="000000"/>
              </w:rPr>
              <w:t>4465</w:t>
            </w:r>
            <w:r>
              <w:rPr>
                <w:rFonts w:asciiTheme="majorHAnsi" w:hAnsiTheme="majorHAnsi"/>
                <w:b/>
                <w:color w:val="000000"/>
              </w:rPr>
              <w:t xml:space="preserve"> – Arq. e Urb. </w:t>
            </w:r>
            <w:r w:rsidRPr="009178D3">
              <w:rPr>
                <w:rFonts w:asciiTheme="majorHAnsi" w:hAnsiTheme="majorHAnsi"/>
                <w:b/>
                <w:color w:val="000000"/>
              </w:rPr>
              <w:t>Michel Heberle:</w:t>
            </w:r>
          </w:p>
          <w:p w:rsidR="00403F91" w:rsidRDefault="00403F91" w:rsidP="0066688F">
            <w:pPr>
              <w:pStyle w:val="PargrafodaLista"/>
              <w:shd w:val="clear" w:color="auto" w:fill="FFFFFF"/>
              <w:spacing w:line="276" w:lineRule="auto"/>
              <w:jc w:val="both"/>
              <w:rPr>
                <w:rFonts w:asciiTheme="majorHAnsi" w:hAnsiTheme="majorHAnsi"/>
                <w:color w:val="000000"/>
              </w:rPr>
            </w:pPr>
            <w:r w:rsidRPr="009178D3">
              <w:rPr>
                <w:rFonts w:asciiTheme="majorHAnsi" w:hAnsiTheme="majorHAnsi"/>
                <w:color w:val="000000"/>
              </w:rPr>
              <w:t>Será tratad</w:t>
            </w:r>
            <w:r>
              <w:rPr>
                <w:rFonts w:asciiTheme="majorHAnsi" w:hAnsiTheme="majorHAnsi"/>
                <w:color w:val="000000"/>
              </w:rPr>
              <w:t>a</w:t>
            </w:r>
            <w:r w:rsidRPr="009178D3">
              <w:rPr>
                <w:rFonts w:asciiTheme="majorHAnsi" w:hAnsiTheme="majorHAnsi"/>
                <w:color w:val="000000"/>
              </w:rPr>
              <w:t xml:space="preserve"> na próxima reunião.</w:t>
            </w:r>
          </w:p>
          <w:p w:rsidR="00BE2FFC" w:rsidRDefault="00BE2FFC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</w:p>
          <w:p w:rsidR="00403F91" w:rsidRPr="009178D3" w:rsidRDefault="00403F91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>A Comissão delibera que os processos de Fiscalização cujas diligências não forem cumpridas em 30 dias, serão automaticamente arquivados.</w:t>
            </w:r>
            <w:r>
              <w:rPr>
                <w:rFonts w:asciiTheme="majorHAnsi" w:eastAsia="BatangChe" w:hAnsiTheme="majorHAnsi" w:cs="Times New Roman"/>
              </w:rPr>
              <w:t xml:space="preserve"> </w:t>
            </w:r>
            <w:r w:rsidRPr="009178D3">
              <w:rPr>
                <w:rFonts w:asciiTheme="majorHAnsi" w:eastAsia="BatangChe" w:hAnsiTheme="majorHAnsi" w:cs="Times New Roman"/>
              </w:rPr>
              <w:t>Os casos de denúncia de engenheiro serão automaticamente remetidos ao CREA, remetidos pela Fiscalização do CAU/RS para a Fiscalização do CREA/RS.</w:t>
            </w:r>
          </w:p>
          <w:p w:rsidR="00403F91" w:rsidRPr="009178D3" w:rsidRDefault="00403F91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 xml:space="preserve">Os fiscais entregam o relatório de Fiscalização da FIMEC. O Coordenador </w:t>
            </w:r>
            <w:r>
              <w:rPr>
                <w:rFonts w:asciiTheme="majorHAnsi" w:eastAsia="BatangChe" w:hAnsiTheme="majorHAnsi" w:cs="Times New Roman"/>
              </w:rPr>
              <w:t xml:space="preserve">Carlos Eduardo Pedone </w:t>
            </w:r>
            <w:r w:rsidRPr="009178D3">
              <w:rPr>
                <w:rFonts w:asciiTheme="majorHAnsi" w:eastAsia="BatangChe" w:hAnsiTheme="majorHAnsi" w:cs="Times New Roman"/>
              </w:rPr>
              <w:t>solicita que o relatório e suas considerações sejam abordados na 121ª Reunião da Comissão.</w:t>
            </w:r>
            <w:r>
              <w:rPr>
                <w:rFonts w:asciiTheme="majorHAnsi" w:eastAsia="BatangChe" w:hAnsiTheme="majorHAnsi" w:cs="Times New Roman"/>
              </w:rPr>
              <w:t xml:space="preserve"> Todavia, uma vez que a Feira encerra no dia 20/03/2015 e há a necessidade de fiscalizar os estandes, a Comissão orienta os fiscais a utilizarem sua autonomia e bom-senso para fiscalizar e orientar os arquitetos e urbanistas. </w:t>
            </w:r>
          </w:p>
          <w:p w:rsidR="00403F91" w:rsidRDefault="00403F91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  <w:r w:rsidRPr="009178D3">
              <w:rPr>
                <w:rFonts w:asciiTheme="majorHAnsi" w:eastAsia="BatangChe" w:hAnsiTheme="majorHAnsi" w:cs="Times New Roman"/>
              </w:rPr>
              <w:t xml:space="preserve">A </w:t>
            </w:r>
            <w:r>
              <w:rPr>
                <w:rFonts w:asciiTheme="majorHAnsi" w:eastAsia="BatangChe" w:hAnsiTheme="majorHAnsi" w:cs="Times New Roman"/>
              </w:rPr>
              <w:t>Arq. e Urb. fiscal</w:t>
            </w:r>
            <w:r w:rsidRPr="009178D3">
              <w:rPr>
                <w:rFonts w:asciiTheme="majorHAnsi" w:eastAsia="BatangChe" w:hAnsiTheme="majorHAnsi" w:cs="Times New Roman"/>
              </w:rPr>
              <w:t xml:space="preserve"> Andréa Pinheiro relata para a Comissão que o Presidente Roberto Py autorizou os fiscais </w:t>
            </w:r>
            <w:r>
              <w:rPr>
                <w:rFonts w:asciiTheme="majorHAnsi" w:eastAsia="BatangChe" w:hAnsiTheme="majorHAnsi" w:cs="Times New Roman"/>
              </w:rPr>
              <w:t xml:space="preserve">a enviarem os pedidos de </w:t>
            </w:r>
            <w:r w:rsidRPr="009178D3">
              <w:rPr>
                <w:rFonts w:asciiTheme="majorHAnsi" w:eastAsia="BatangChe" w:hAnsiTheme="majorHAnsi" w:cs="Times New Roman"/>
              </w:rPr>
              <w:t xml:space="preserve">esclarecimento necessários aos processos de Fiscalização, se tratando de pessoa física e pessoa jurídica, não </w:t>
            </w:r>
            <w:r>
              <w:rPr>
                <w:rFonts w:asciiTheme="majorHAnsi" w:eastAsia="BatangChe" w:hAnsiTheme="majorHAnsi" w:cs="Times New Roman"/>
              </w:rPr>
              <w:t>havendo necessidade de</w:t>
            </w:r>
            <w:r w:rsidRPr="009178D3">
              <w:rPr>
                <w:rFonts w:asciiTheme="majorHAnsi" w:eastAsia="BatangChe" w:hAnsiTheme="majorHAnsi" w:cs="Times New Roman"/>
              </w:rPr>
              <w:t xml:space="preserve"> encaminhamento via Presidência. Tal orientação não se aplica aos comunicados aos órgãos públicos.</w:t>
            </w:r>
          </w:p>
          <w:p w:rsidR="009F45A4" w:rsidRPr="009178D3" w:rsidRDefault="009F45A4" w:rsidP="0066688F">
            <w:pPr>
              <w:spacing w:line="276" w:lineRule="auto"/>
              <w:ind w:right="33"/>
              <w:jc w:val="both"/>
              <w:rPr>
                <w:rFonts w:asciiTheme="majorHAnsi" w:eastAsia="BatangChe" w:hAnsiTheme="majorHAnsi" w:cs="Times New Roman"/>
              </w:rPr>
            </w:pP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6688F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6688F"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403F91" w:rsidRPr="009E47A2" w:rsidTr="00753D93">
        <w:trPr>
          <w:trHeight w:val="62"/>
        </w:trPr>
        <w:tc>
          <w:tcPr>
            <w:tcW w:w="2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6688F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6688F">
              <w:rPr>
                <w:rFonts w:asciiTheme="majorHAnsi" w:hAnsiTheme="majorHAnsi" w:cs="Times New Roman"/>
                <w:b/>
                <w:sz w:val="24"/>
                <w:szCs w:val="24"/>
              </w:rPr>
              <w:t>Solicitante</w:t>
            </w:r>
          </w:p>
        </w:tc>
        <w:tc>
          <w:tcPr>
            <w:tcW w:w="515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6688F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6688F">
              <w:rPr>
                <w:rFonts w:asciiTheme="majorHAnsi" w:hAnsiTheme="majorHAnsi" w:cs="Times New Roman"/>
                <w:b/>
                <w:sz w:val="24"/>
                <w:szCs w:val="24"/>
              </w:rPr>
              <w:t>Ação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66688F" w:rsidRDefault="00403F91" w:rsidP="0066688F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6688F">
              <w:rPr>
                <w:rFonts w:asciiTheme="majorHAnsi" w:hAnsiTheme="majorHAnsi" w:cs="Times New Roman"/>
                <w:b/>
                <w:sz w:val="24"/>
                <w:szCs w:val="24"/>
              </w:rPr>
              <w:t>Responsável</w:t>
            </w:r>
          </w:p>
        </w:tc>
      </w:tr>
      <w:tr w:rsidR="002D2ECD" w:rsidRPr="002D2ECD" w:rsidTr="00753D93">
        <w:trPr>
          <w:trHeight w:val="236"/>
        </w:trPr>
        <w:tc>
          <w:tcPr>
            <w:tcW w:w="22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2D2ECD" w:rsidRPr="002D2ECD" w:rsidRDefault="002D2ECD" w:rsidP="0066688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5151" w:type="dxa"/>
            <w:gridSpan w:val="9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2ECD" w:rsidRPr="002D2ECD" w:rsidRDefault="002D2ECD" w:rsidP="0066688F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 xml:space="preserve">Redigir ofício com orientações para o solicitante, conforme denúncia </w:t>
            </w:r>
            <w:r w:rsidRPr="002D2ECD">
              <w:rPr>
                <w:rFonts w:asciiTheme="majorHAnsi" w:hAnsiTheme="majorHAnsi"/>
                <w:color w:val="000000"/>
              </w:rPr>
              <w:t>nº 4613 - Click Síndico Publicações LTDA.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D2ECD" w:rsidRPr="002D2ECD" w:rsidRDefault="002D2ECD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Cassio Lorensini</w:t>
            </w:r>
            <w:r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2D2ECD" w:rsidTr="00753D93">
        <w:trPr>
          <w:trHeight w:val="236"/>
        </w:trPr>
        <w:tc>
          <w:tcPr>
            <w:tcW w:w="22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D2ECD" w:rsidRDefault="009F45A4" w:rsidP="0066688F">
            <w:pPr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Conselheira Silvia Barakat</w:t>
            </w:r>
          </w:p>
        </w:tc>
        <w:tc>
          <w:tcPr>
            <w:tcW w:w="5151" w:type="dxa"/>
            <w:gridSpan w:val="9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403F91" w:rsidP="00753D93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Redigir minuta de memorando à CED/RS sugerindo a elaboração de uma minuta para cartilha sobre Reserva Técn</w:t>
            </w:r>
            <w:r w:rsidR="00753D93">
              <w:rPr>
                <w:rFonts w:asciiTheme="majorHAnsi" w:hAnsiTheme="majorHAnsi" w:cs="Times New Roman"/>
              </w:rPr>
              <w:t>ica.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2D2ECD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Carla Lago</w:t>
            </w:r>
            <w:r w:rsidR="009F45A4"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2D2ECD" w:rsidTr="00753D93">
        <w:trPr>
          <w:trHeight w:val="236"/>
        </w:trPr>
        <w:tc>
          <w:tcPr>
            <w:tcW w:w="22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403F91" w:rsidP="0066688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Coordenador Carlos Eduardo Pedone.</w:t>
            </w:r>
          </w:p>
        </w:tc>
        <w:tc>
          <w:tcPr>
            <w:tcW w:w="5151" w:type="dxa"/>
            <w:gridSpan w:val="9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403F91" w:rsidP="0066688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Redigir minuta de Deliberação sobre arquivamento de processos cujas diligências não forem cumpridas em 30 dias.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Mauro Viera Maciel.</w:t>
            </w:r>
          </w:p>
        </w:tc>
      </w:tr>
      <w:tr w:rsidR="00403F91" w:rsidRPr="009178D3" w:rsidTr="00753D93">
        <w:trPr>
          <w:trHeight w:val="236"/>
        </w:trPr>
        <w:tc>
          <w:tcPr>
            <w:tcW w:w="224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403F91" w:rsidP="0066688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Coordenador Carlos Eduardo Pedone.</w:t>
            </w:r>
          </w:p>
        </w:tc>
        <w:tc>
          <w:tcPr>
            <w:tcW w:w="5151" w:type="dxa"/>
            <w:gridSpan w:val="9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403F91" w:rsidP="0066688F">
            <w:pPr>
              <w:spacing w:line="276" w:lineRule="auto"/>
              <w:rPr>
                <w:rFonts w:asciiTheme="majorHAnsi" w:hAnsiTheme="majorHAnsi" w:cs="Times New Roman"/>
              </w:rPr>
            </w:pPr>
            <w:r w:rsidRPr="002D2ECD">
              <w:rPr>
                <w:rFonts w:asciiTheme="majorHAnsi" w:hAnsiTheme="majorHAnsi" w:cs="Times New Roman"/>
              </w:rPr>
              <w:t>Pautar na 121ª reunião o Relatório da FIMEC e considerações dos fiscais.</w:t>
            </w:r>
          </w:p>
        </w:tc>
        <w:tc>
          <w:tcPr>
            <w:tcW w:w="2126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03F91" w:rsidRPr="002D2ECD" w:rsidRDefault="002D2ECD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403F91">
              <w:rPr>
                <w:rFonts w:asciiTheme="majorHAnsi" w:hAnsiTheme="majorHAnsi" w:cs="Times New Roman"/>
              </w:rPr>
              <w:t>Carla Lago</w:t>
            </w:r>
            <w:r w:rsidR="009F45A4">
              <w:rPr>
                <w:rFonts w:asciiTheme="majorHAnsi" w:hAnsiTheme="majorHAnsi" w:cs="Times New Roman"/>
              </w:rPr>
              <w:t>.</w:t>
            </w:r>
          </w:p>
        </w:tc>
      </w:tr>
      <w:tr w:rsidR="00403F91" w:rsidRPr="009E47A2" w:rsidTr="00753D93">
        <w:trPr>
          <w:trHeight w:hRule="exact" w:val="284"/>
        </w:trPr>
        <w:tc>
          <w:tcPr>
            <w:tcW w:w="9523" w:type="dxa"/>
            <w:gridSpan w:val="11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pStyle w:val="PargrafodaLista"/>
              <w:numPr>
                <w:ilvl w:val="0"/>
                <w:numId w:val="40"/>
              </w:numPr>
              <w:spacing w:line="276" w:lineRule="auto"/>
              <w:ind w:right="-1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Assuntos Gerais.</w:t>
            </w:r>
          </w:p>
        </w:tc>
      </w:tr>
      <w:tr w:rsidR="00403F91" w:rsidRPr="009178D3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9178D3">
              <w:rPr>
                <w:rFonts w:asciiTheme="majorHAnsi" w:hAnsiTheme="majorHAnsi" w:cs="Times New Roman"/>
                <w:b/>
              </w:rPr>
              <w:t>11.1 Esclarecimentos sobre a 3ª Reunião de Avaliação da Estratégia: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Os esclarecimentos acerca da 3ªRAE seriam prestados pela</w:t>
            </w:r>
            <w:r w:rsidRPr="009178D3">
              <w:rPr>
                <w:rFonts w:asciiTheme="majorHAnsi" w:hAnsiTheme="majorHAnsi" w:cs="Times New Roman"/>
              </w:rPr>
              <w:t xml:space="preserve"> Gerente de Planejamento, Ângela Rímolo,</w:t>
            </w:r>
            <w:r>
              <w:rPr>
                <w:rFonts w:asciiTheme="majorHAnsi" w:hAnsiTheme="majorHAnsi" w:cs="Times New Roman"/>
              </w:rPr>
              <w:t xml:space="preserve"> porém e</w:t>
            </w:r>
            <w:r w:rsidRPr="009178D3">
              <w:rPr>
                <w:rFonts w:asciiTheme="majorHAnsi" w:hAnsiTheme="majorHAnsi" w:cs="Times New Roman"/>
              </w:rPr>
              <w:t>stá de férias e sua substituta, Danessa Diaz, está em curso no CAU/BR. Desta forma, o assunto retornará na pauta da próxima reunião.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9178D3">
              <w:rPr>
                <w:rFonts w:asciiTheme="majorHAnsi" w:hAnsiTheme="majorHAnsi" w:cs="Times New Roman"/>
                <w:b/>
              </w:rPr>
              <w:t>11.2 Parecer jurídico CEP – participação do Gerente-Geral Fausto Loureiro: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O Gerente-Geral Fausto </w:t>
            </w:r>
            <w:r w:rsidR="009F45A4">
              <w:rPr>
                <w:rFonts w:asciiTheme="majorHAnsi" w:hAnsiTheme="majorHAnsi" w:cs="Times New Roman"/>
              </w:rPr>
              <w:t xml:space="preserve">Loureiro </w:t>
            </w:r>
            <w:r w:rsidRPr="009178D3">
              <w:rPr>
                <w:rFonts w:asciiTheme="majorHAnsi" w:hAnsiTheme="majorHAnsi" w:cs="Times New Roman"/>
              </w:rPr>
              <w:t xml:space="preserve">esclarece que o advogado Mauro Maciel retornará à assessoria jurídica exclusiva da Comissão de Exercício Profissional. Ainda, relata que a manobra de haver uma assessoria jurídica centralizada foi estabelecida </w:t>
            </w:r>
            <w:r>
              <w:rPr>
                <w:rFonts w:asciiTheme="majorHAnsi" w:hAnsiTheme="majorHAnsi" w:cs="Times New Roman"/>
              </w:rPr>
              <w:t>visando</w:t>
            </w:r>
            <w:r w:rsidRPr="009178D3">
              <w:rPr>
                <w:rFonts w:asciiTheme="majorHAnsi" w:hAnsiTheme="majorHAnsi" w:cs="Times New Roman"/>
              </w:rPr>
              <w:t xml:space="preserve"> proporcionar um rodízio no atendimento prestado. </w:t>
            </w:r>
            <w:r>
              <w:rPr>
                <w:rFonts w:asciiTheme="majorHAnsi" w:hAnsiTheme="majorHAnsi" w:cs="Times New Roman"/>
              </w:rPr>
              <w:t>Porém</w:t>
            </w:r>
            <w:r w:rsidRPr="009178D3">
              <w:rPr>
                <w:rFonts w:asciiTheme="majorHAnsi" w:hAnsiTheme="majorHAnsi" w:cs="Times New Roman"/>
              </w:rPr>
              <w:t>, verificou-se que não é a melhor forma dentro das necessidades do CAU/RS, por este motivo está se retornando ao formato original.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9178D3">
              <w:rPr>
                <w:rFonts w:asciiTheme="majorHAnsi" w:hAnsiTheme="majorHAnsi" w:cs="Times New Roman"/>
                <w:b/>
              </w:rPr>
              <w:t>11.3 Contribuições à rotina de acompanhamento de editais: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O Coordenador </w:t>
            </w:r>
            <w:r w:rsidR="009F45A4">
              <w:rPr>
                <w:rFonts w:asciiTheme="majorHAnsi" w:hAnsiTheme="majorHAnsi" w:cs="Times New Roman"/>
              </w:rPr>
              <w:t xml:space="preserve">Carlos Eduardo </w:t>
            </w:r>
            <w:r w:rsidRPr="009178D3">
              <w:rPr>
                <w:rFonts w:asciiTheme="majorHAnsi" w:hAnsiTheme="majorHAnsi" w:cs="Times New Roman"/>
              </w:rPr>
              <w:t xml:space="preserve">Pedone apresenta o e-mail enviado pelo Cons. Oritz </w:t>
            </w:r>
            <w:r w:rsidR="009F45A4">
              <w:rPr>
                <w:rFonts w:asciiTheme="majorHAnsi" w:hAnsiTheme="majorHAnsi" w:cs="Times New Roman"/>
              </w:rPr>
              <w:t xml:space="preserve">Adriano Adams de Campos </w:t>
            </w:r>
            <w:r>
              <w:rPr>
                <w:rFonts w:asciiTheme="majorHAnsi" w:hAnsiTheme="majorHAnsi" w:cs="Times New Roman"/>
              </w:rPr>
              <w:t>sobre</w:t>
            </w:r>
            <w:r w:rsidRPr="009178D3">
              <w:rPr>
                <w:rFonts w:asciiTheme="majorHAnsi" w:hAnsiTheme="majorHAnsi" w:cs="Times New Roman"/>
              </w:rPr>
              <w:t xml:space="preserve"> o pregão da Prefeitura de Esteio para “Contratação de empresa para elaboração do Plano Diretor de Mobilidade Urbana de Esteio”. Sobre isso, a Gerente Técnica Maríndia </w:t>
            </w:r>
            <w:r w:rsidR="009F45A4">
              <w:rPr>
                <w:rFonts w:asciiTheme="majorHAnsi" w:hAnsiTheme="majorHAnsi" w:cs="Times New Roman"/>
              </w:rPr>
              <w:t xml:space="preserve">Girardello </w:t>
            </w:r>
            <w:r w:rsidRPr="009178D3">
              <w:rPr>
                <w:rFonts w:asciiTheme="majorHAnsi" w:hAnsiTheme="majorHAnsi" w:cs="Times New Roman"/>
              </w:rPr>
              <w:t xml:space="preserve">esclarece que a rotina estabelecida atualmente </w:t>
            </w:r>
            <w:r w:rsidR="00C6472C">
              <w:rPr>
                <w:rFonts w:asciiTheme="majorHAnsi" w:hAnsiTheme="majorHAnsi" w:cs="Times New Roman"/>
              </w:rPr>
              <w:t>é</w:t>
            </w:r>
            <w:r w:rsidRPr="009178D3">
              <w:rPr>
                <w:rFonts w:asciiTheme="majorHAnsi" w:hAnsiTheme="majorHAnsi" w:cs="Times New Roman"/>
              </w:rPr>
              <w:t xml:space="preserve"> que a Arq. e Urb. Melina </w:t>
            </w:r>
            <w:r w:rsidR="009F45A4">
              <w:rPr>
                <w:rFonts w:asciiTheme="majorHAnsi" w:hAnsiTheme="majorHAnsi" w:cs="Times New Roman"/>
              </w:rPr>
              <w:t xml:space="preserve">Lai </w:t>
            </w:r>
            <w:r w:rsidRPr="009178D3">
              <w:rPr>
                <w:rFonts w:asciiTheme="majorHAnsi" w:hAnsiTheme="majorHAnsi" w:cs="Times New Roman"/>
              </w:rPr>
              <w:t xml:space="preserve">realiza uma busca na internet dos concursos de engenheiros e encaminha o resultado da pesquisa para a assessoria jurídica. O Presidente Roberto Py acena como </w:t>
            </w:r>
            <w:r w:rsidRPr="008112BC">
              <w:rPr>
                <w:rFonts w:asciiTheme="majorHAnsi" w:hAnsiTheme="majorHAnsi" w:cs="Times New Roman"/>
              </w:rPr>
              <w:t>positiva a contratação de um software e/ou assinatura de um site que permita a pesquisa de forma efetiva. A Comissão solicita o encaminhamento para a contratação desse serviço.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 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Sobre o concurso da UCS</w:t>
            </w:r>
            <w:r>
              <w:rPr>
                <w:rFonts w:asciiTheme="majorHAnsi" w:hAnsiTheme="majorHAnsi" w:cs="Times New Roman"/>
              </w:rPr>
              <w:t xml:space="preserve"> – Universidade de Caxias do Sul</w:t>
            </w:r>
            <w:r w:rsidRPr="009178D3">
              <w:rPr>
                <w:rFonts w:asciiTheme="majorHAnsi" w:hAnsiTheme="majorHAnsi" w:cs="Times New Roman"/>
              </w:rPr>
              <w:t xml:space="preserve">, o Gerente-Geral esclarece que a Gerente Maríndia </w:t>
            </w:r>
            <w:r w:rsidR="009F45A4">
              <w:rPr>
                <w:rFonts w:asciiTheme="majorHAnsi" w:hAnsiTheme="majorHAnsi" w:cs="Times New Roman"/>
              </w:rPr>
              <w:t xml:space="preserve">Girardello </w:t>
            </w:r>
            <w:r w:rsidRPr="009178D3">
              <w:rPr>
                <w:rFonts w:asciiTheme="majorHAnsi" w:hAnsiTheme="majorHAnsi" w:cs="Times New Roman"/>
              </w:rPr>
              <w:t xml:space="preserve">recebeu um e-mail com um edital </w:t>
            </w:r>
            <w:r w:rsidR="009B672B">
              <w:rPr>
                <w:rFonts w:asciiTheme="majorHAnsi" w:hAnsiTheme="majorHAnsi" w:cs="Times New Roman"/>
              </w:rPr>
              <w:t>com o seguinte objeto “Contratação de projeto arquitetônico de restauração da sede do CEAA/UCS, Campus 8, Cidade das Artes – Forqueta/Caxias do Sul”</w:t>
            </w:r>
            <w:r>
              <w:rPr>
                <w:rFonts w:asciiTheme="majorHAnsi" w:hAnsiTheme="majorHAnsi" w:cs="Times New Roman"/>
              </w:rPr>
              <w:t>,</w:t>
            </w:r>
            <w:r w:rsidRPr="009178D3">
              <w:rPr>
                <w:rFonts w:asciiTheme="majorHAnsi" w:hAnsiTheme="majorHAnsi" w:cs="Times New Roman"/>
              </w:rPr>
              <w:t xml:space="preserve"> encaminhado para a Arq. e Urb. Melina</w:t>
            </w:r>
            <w:r w:rsidR="009F45A4">
              <w:rPr>
                <w:rFonts w:asciiTheme="majorHAnsi" w:hAnsiTheme="majorHAnsi" w:cs="Times New Roman"/>
              </w:rPr>
              <w:t xml:space="preserve"> Lai</w:t>
            </w:r>
            <w:r w:rsidR="00C6472C">
              <w:rPr>
                <w:rFonts w:asciiTheme="majorHAnsi" w:hAnsiTheme="majorHAnsi" w:cs="Times New Roman"/>
              </w:rPr>
              <w:t xml:space="preserve">, que </w:t>
            </w:r>
            <w:r w:rsidRPr="009178D3">
              <w:rPr>
                <w:rFonts w:asciiTheme="majorHAnsi" w:hAnsiTheme="majorHAnsi" w:cs="Times New Roman"/>
              </w:rPr>
              <w:t>identificou irregularidades</w:t>
            </w:r>
            <w:r>
              <w:rPr>
                <w:rFonts w:asciiTheme="majorHAnsi" w:hAnsiTheme="majorHAnsi" w:cs="Times New Roman"/>
              </w:rPr>
              <w:t xml:space="preserve"> em </w:t>
            </w:r>
            <w:r w:rsidRPr="000308CB">
              <w:rPr>
                <w:rFonts w:asciiTheme="majorHAnsi" w:hAnsiTheme="majorHAnsi" w:cs="Times New Roman"/>
              </w:rPr>
              <w:t>relação ao cargo e ao valor de honorários.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9178D3">
              <w:rPr>
                <w:rFonts w:asciiTheme="majorHAnsi" w:hAnsiTheme="majorHAnsi" w:cs="Times New Roman"/>
              </w:rPr>
              <w:t xml:space="preserve">Como orientação, o Coord. Carlos </w:t>
            </w:r>
            <w:r w:rsidR="009F45A4">
              <w:rPr>
                <w:rFonts w:asciiTheme="majorHAnsi" w:hAnsiTheme="majorHAnsi" w:cs="Times New Roman"/>
              </w:rPr>
              <w:t xml:space="preserve">Eduardo </w:t>
            </w:r>
            <w:r w:rsidRPr="009178D3">
              <w:rPr>
                <w:rFonts w:asciiTheme="majorHAnsi" w:hAnsiTheme="majorHAnsi" w:cs="Times New Roman"/>
              </w:rPr>
              <w:t xml:space="preserve">Pedone </w:t>
            </w:r>
            <w:r>
              <w:rPr>
                <w:rFonts w:asciiTheme="majorHAnsi" w:hAnsiTheme="majorHAnsi" w:cs="Times New Roman"/>
              </w:rPr>
              <w:t xml:space="preserve">pede que seja </w:t>
            </w:r>
            <w:r w:rsidRPr="009178D3">
              <w:rPr>
                <w:rFonts w:asciiTheme="majorHAnsi" w:hAnsiTheme="majorHAnsi" w:cs="Times New Roman"/>
              </w:rPr>
              <w:t xml:space="preserve">dado andamento, solicitando que </w:t>
            </w:r>
            <w:r w:rsidR="001020C0">
              <w:rPr>
                <w:rFonts w:asciiTheme="majorHAnsi" w:hAnsiTheme="majorHAnsi" w:cs="Times New Roman"/>
              </w:rPr>
              <w:t>não se abra os envelopes que contenham engenheiros coo responsáveis técnicos.</w:t>
            </w:r>
            <w:r>
              <w:rPr>
                <w:rFonts w:asciiTheme="majorHAnsi" w:hAnsiTheme="majorHAnsi" w:cs="Times New Roman"/>
              </w:rPr>
              <w:t xml:space="preserve"> Q</w:t>
            </w:r>
            <w:r w:rsidRPr="009178D3">
              <w:rPr>
                <w:rFonts w:asciiTheme="majorHAnsi" w:hAnsiTheme="majorHAnsi" w:cs="Times New Roman"/>
              </w:rPr>
              <w:t xml:space="preserve">uanto aos honorários, a Comissão entende que há outras questões envolvidas e, por isso, </w:t>
            </w:r>
            <w:r w:rsidR="001020C0">
              <w:rPr>
                <w:rFonts w:asciiTheme="majorHAnsi" w:hAnsiTheme="majorHAnsi" w:cs="Times New Roman"/>
              </w:rPr>
              <w:t>sugere</w:t>
            </w:r>
            <w:r w:rsidRPr="009178D3">
              <w:rPr>
                <w:rFonts w:asciiTheme="majorHAnsi" w:hAnsiTheme="majorHAnsi" w:cs="Times New Roman"/>
              </w:rPr>
              <w:t xml:space="preserve"> que o CAU deve focar na inclusão dos arquitetos e urbanistas.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Sobre isso, o Presidente Roberto Py orienta que o CAU/RS deve enviar ofício para a UCS, solicitando </w:t>
            </w:r>
            <w:r w:rsidR="001020C0">
              <w:rPr>
                <w:rFonts w:asciiTheme="majorHAnsi" w:hAnsiTheme="majorHAnsi" w:cs="Times New Roman"/>
              </w:rPr>
              <w:t>a não abertura dos envelopes enquanto houver engenheiro como responsável técnico.</w:t>
            </w:r>
          </w:p>
          <w:p w:rsidR="009B672B" w:rsidRPr="009178D3" w:rsidRDefault="009B672B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9178D3">
              <w:rPr>
                <w:rFonts w:asciiTheme="majorHAnsi" w:hAnsiTheme="majorHAnsi" w:cs="Times New Roman"/>
                <w:b/>
              </w:rPr>
              <w:t>11.4 Treinamento IGEO: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O Presidente Roberto Py </w:t>
            </w:r>
            <w:r>
              <w:rPr>
                <w:rFonts w:asciiTheme="majorHAnsi" w:hAnsiTheme="majorHAnsi" w:cs="Times New Roman"/>
              </w:rPr>
              <w:t>informa</w:t>
            </w:r>
            <w:r w:rsidRPr="009178D3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os Conselheiros </w:t>
            </w:r>
            <w:r w:rsidRPr="009178D3">
              <w:rPr>
                <w:rFonts w:asciiTheme="majorHAnsi" w:hAnsiTheme="majorHAnsi" w:cs="Times New Roman"/>
              </w:rPr>
              <w:t xml:space="preserve">sobre o Treinamento </w:t>
            </w:r>
            <w:r>
              <w:rPr>
                <w:rFonts w:asciiTheme="majorHAnsi" w:hAnsiTheme="majorHAnsi" w:cs="Times New Roman"/>
              </w:rPr>
              <w:t xml:space="preserve">de Geoprocessamento </w:t>
            </w:r>
            <w:r w:rsidRPr="009178D3">
              <w:rPr>
                <w:rFonts w:asciiTheme="majorHAnsi" w:hAnsiTheme="majorHAnsi" w:cs="Times New Roman"/>
              </w:rPr>
              <w:t>que ocorrerá na sede do CAU/RS na próxima semana, de 23 a 27 de março. Convida a Comissão a participar à medida que impacta no planejamento e resultados da Fiscalização.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O Presidente também sugere a participação de alguns assistentes administrativos, visto que p</w:t>
            </w:r>
            <w:r>
              <w:rPr>
                <w:rFonts w:asciiTheme="majorHAnsi" w:hAnsiTheme="majorHAnsi" w:cs="Times New Roman"/>
              </w:rPr>
              <w:t xml:space="preserve">oderão auxiliar na Fiscalização futuramente. 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 xml:space="preserve">A Gerente Técnica Marindia </w:t>
            </w:r>
            <w:r w:rsidR="009F45A4">
              <w:rPr>
                <w:rFonts w:asciiTheme="majorHAnsi" w:hAnsiTheme="majorHAnsi" w:cs="Times New Roman"/>
              </w:rPr>
              <w:t xml:space="preserve">Girardello </w:t>
            </w:r>
            <w:r w:rsidRPr="009178D3">
              <w:rPr>
                <w:rFonts w:asciiTheme="majorHAnsi" w:hAnsiTheme="majorHAnsi" w:cs="Times New Roman"/>
              </w:rPr>
              <w:t xml:space="preserve">convida os Conselheiros </w:t>
            </w:r>
            <w:r>
              <w:rPr>
                <w:rFonts w:asciiTheme="majorHAnsi" w:hAnsiTheme="majorHAnsi" w:cs="Times New Roman"/>
              </w:rPr>
              <w:t>d</w:t>
            </w:r>
            <w:r w:rsidRPr="009178D3">
              <w:rPr>
                <w:rFonts w:asciiTheme="majorHAnsi" w:hAnsiTheme="majorHAnsi" w:cs="Times New Roman"/>
              </w:rPr>
              <w:t xml:space="preserve">a Comissão a participar do Treinamento na quinta-feira, que tratará exclusivamente sobre o caso da Prefeitura de Carlos Barbosa. O Conselheiro Oritz </w:t>
            </w:r>
            <w:r w:rsidR="009F45A4">
              <w:rPr>
                <w:rFonts w:asciiTheme="majorHAnsi" w:hAnsiTheme="majorHAnsi" w:cs="Times New Roman"/>
              </w:rPr>
              <w:t xml:space="preserve">Adriano Adams de Campos </w:t>
            </w:r>
            <w:r w:rsidRPr="009178D3">
              <w:rPr>
                <w:rFonts w:asciiTheme="majorHAnsi" w:hAnsiTheme="majorHAnsi" w:cs="Times New Roman"/>
              </w:rPr>
              <w:t>solicita que, caso haja material para leitura prévia para o Treinamento, que seja disponibilizado com antecedência.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  <w:b/>
              </w:rPr>
              <w:t>11.5 Encaminhamentos para Plenária</w:t>
            </w:r>
            <w:r w:rsidRPr="009178D3">
              <w:rPr>
                <w:rFonts w:asciiTheme="majorHAnsi" w:hAnsiTheme="majorHAnsi" w:cs="Times New Roman"/>
              </w:rPr>
              <w:t>: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A Cons. Rosana Oppitz solicita que seja</w:t>
            </w:r>
            <w:r w:rsidR="00CE64DB">
              <w:rPr>
                <w:rFonts w:asciiTheme="majorHAnsi" w:hAnsiTheme="majorHAnsi" w:cs="Times New Roman"/>
              </w:rPr>
              <w:t>m</w:t>
            </w:r>
            <w:r w:rsidRPr="009178D3">
              <w:rPr>
                <w:rFonts w:asciiTheme="majorHAnsi" w:hAnsiTheme="majorHAnsi" w:cs="Times New Roman"/>
              </w:rPr>
              <w:t xml:space="preserve"> apresentado</w:t>
            </w:r>
            <w:r w:rsidR="00CE64DB">
              <w:rPr>
                <w:rFonts w:asciiTheme="majorHAnsi" w:hAnsiTheme="majorHAnsi" w:cs="Times New Roman"/>
              </w:rPr>
              <w:t>s</w:t>
            </w:r>
            <w:r w:rsidRPr="009178D3">
              <w:rPr>
                <w:rFonts w:asciiTheme="majorHAnsi" w:hAnsiTheme="majorHAnsi" w:cs="Times New Roman"/>
              </w:rPr>
              <w:t xml:space="preserve"> </w:t>
            </w:r>
            <w:r w:rsidR="00CE64DB">
              <w:rPr>
                <w:rFonts w:asciiTheme="majorHAnsi" w:hAnsiTheme="majorHAnsi" w:cs="Times New Roman"/>
              </w:rPr>
              <w:t xml:space="preserve">os Relatórios da Fiscalização </w:t>
            </w:r>
            <w:r w:rsidRPr="009178D3">
              <w:rPr>
                <w:rFonts w:asciiTheme="majorHAnsi" w:hAnsiTheme="majorHAnsi" w:cs="Times New Roman"/>
              </w:rPr>
              <w:t xml:space="preserve">na reunião </w:t>
            </w:r>
            <w:r w:rsidR="00CE64DB">
              <w:rPr>
                <w:rFonts w:asciiTheme="majorHAnsi" w:hAnsiTheme="majorHAnsi" w:cs="Times New Roman"/>
              </w:rPr>
              <w:t>Plenária de 20 de março.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  <w:b/>
              </w:rPr>
            </w:pPr>
            <w:r w:rsidRPr="009178D3">
              <w:rPr>
                <w:rFonts w:asciiTheme="majorHAnsi" w:hAnsiTheme="majorHAnsi" w:cs="Times New Roman"/>
                <w:b/>
              </w:rPr>
              <w:t>11.6</w:t>
            </w:r>
            <w:r w:rsidRPr="009178D3">
              <w:rPr>
                <w:rFonts w:asciiTheme="majorHAnsi" w:hAnsiTheme="majorHAnsi" w:cs="Times New Roman"/>
              </w:rPr>
              <w:t xml:space="preserve"> </w:t>
            </w:r>
            <w:r w:rsidRPr="009178D3">
              <w:rPr>
                <w:rFonts w:asciiTheme="majorHAnsi" w:hAnsiTheme="majorHAnsi" w:cs="Times New Roman"/>
                <w:b/>
              </w:rPr>
              <w:t>Notificação de leigo:</w:t>
            </w:r>
          </w:p>
          <w:p w:rsidR="00403F91" w:rsidRPr="009178D3" w:rsidRDefault="00403F91" w:rsidP="0066688F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O Cons. Oritz</w:t>
            </w:r>
            <w:r w:rsidR="009F45A4">
              <w:rPr>
                <w:rFonts w:asciiTheme="majorHAnsi" w:hAnsiTheme="majorHAnsi" w:cs="Times New Roman"/>
              </w:rPr>
              <w:t xml:space="preserve"> Adriano Adams de Campos</w:t>
            </w:r>
            <w:r w:rsidRPr="009178D3">
              <w:rPr>
                <w:rFonts w:asciiTheme="majorHAnsi" w:hAnsiTheme="majorHAnsi" w:cs="Times New Roman"/>
              </w:rPr>
              <w:t xml:space="preserve"> relata que no </w:t>
            </w:r>
            <w:r w:rsidRPr="00A274BE">
              <w:rPr>
                <w:rFonts w:asciiTheme="majorHAnsi" w:hAnsiTheme="majorHAnsi" w:cs="Times New Roman"/>
              </w:rPr>
              <w:t>início do ano foi solicitado por ele que fosse realizado um levantamento nos demais Estados quanto às notificações de leigo. Solicita que o tema seja pautado novamente na próxima reunião</w:t>
            </w:r>
            <w:r w:rsidR="00A274BE" w:rsidRPr="00A274BE">
              <w:rPr>
                <w:rFonts w:asciiTheme="majorHAnsi" w:hAnsiTheme="majorHAnsi" w:cs="Times New Roman"/>
              </w:rPr>
              <w:t xml:space="preserve">, e orienta a Gerente Técnica Maríndia </w:t>
            </w:r>
            <w:r w:rsidR="009F45A4">
              <w:rPr>
                <w:rFonts w:asciiTheme="majorHAnsi" w:hAnsiTheme="majorHAnsi" w:cs="Times New Roman"/>
              </w:rPr>
              <w:t xml:space="preserve">Girardello </w:t>
            </w:r>
            <w:r w:rsidR="00A274BE" w:rsidRPr="00A274BE">
              <w:rPr>
                <w:rFonts w:asciiTheme="majorHAnsi" w:hAnsiTheme="majorHAnsi" w:cs="Times New Roman"/>
              </w:rPr>
              <w:t xml:space="preserve">a </w:t>
            </w:r>
            <w:r w:rsidR="00A274BE" w:rsidRPr="00A274BE">
              <w:rPr>
                <w:rFonts w:asciiTheme="majorHAnsi" w:hAnsiTheme="majorHAnsi"/>
                <w:color w:val="000000"/>
              </w:rPr>
              <w:t>verificar, junto ao Sindicato dos Arquitetos e Urbanistas de Minas Gerais, de que forma conseguiram barrar a atuação dos engenheiros civis em projetos de arquitetura.</w:t>
            </w:r>
          </w:p>
          <w:p w:rsidR="00A274BE" w:rsidRPr="009178D3" w:rsidRDefault="00403F91" w:rsidP="00A274BE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A Gerente Maríndia</w:t>
            </w:r>
            <w:r w:rsidR="009F45A4">
              <w:rPr>
                <w:rFonts w:asciiTheme="majorHAnsi" w:hAnsiTheme="majorHAnsi" w:cs="Times New Roman"/>
              </w:rPr>
              <w:t xml:space="preserve"> Girardello</w:t>
            </w:r>
            <w:r w:rsidRPr="009178D3">
              <w:rPr>
                <w:rFonts w:asciiTheme="majorHAnsi" w:hAnsiTheme="majorHAnsi" w:cs="Times New Roman"/>
              </w:rPr>
              <w:t xml:space="preserve"> esclarece que o Assessor Jurídico do CAU/BR, Dr. Medeiros, em reunião com o Presidente Roberto Py na sede do CAU/RS, alertou que é possível a autuação de leigos. Segundo ele, a assessoria do CAU/BR fará um documento com essas orientações e enviará aos CAUs/UF.</w:t>
            </w:r>
          </w:p>
        </w:tc>
      </w:tr>
      <w:tr w:rsidR="00403F91" w:rsidRPr="009E47A2" w:rsidTr="00753D93">
        <w:trPr>
          <w:trHeight w:val="62"/>
        </w:trPr>
        <w:tc>
          <w:tcPr>
            <w:tcW w:w="9523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4"/>
              </w:rPr>
              <w:t>Providências/Encaminhamentos</w:t>
            </w:r>
          </w:p>
        </w:tc>
      </w:tr>
      <w:tr w:rsidR="00CA4308" w:rsidRPr="009E47A2" w:rsidTr="00753D93">
        <w:trPr>
          <w:trHeight w:val="62"/>
        </w:trPr>
        <w:tc>
          <w:tcPr>
            <w:tcW w:w="239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308" w:rsidRPr="00CA4308" w:rsidRDefault="00CA4308" w:rsidP="0066688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CA4308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71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308" w:rsidRPr="00CA4308" w:rsidRDefault="00CA4308" w:rsidP="0066688F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CA4308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308" w:rsidRPr="00CA4308" w:rsidRDefault="00CA4308" w:rsidP="0066688F">
            <w:pPr>
              <w:tabs>
                <w:tab w:val="left" w:pos="1230"/>
                <w:tab w:val="center" w:pos="2183"/>
              </w:tabs>
              <w:spacing w:line="276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CA4308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CA4308" w:rsidRPr="009178D3" w:rsidTr="00753D93">
        <w:trPr>
          <w:trHeight w:hRule="exact" w:val="1254"/>
        </w:trPr>
        <w:tc>
          <w:tcPr>
            <w:tcW w:w="239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9F45A4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716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CA4308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 w:rsidRPr="00CA4308">
              <w:rPr>
                <w:rFonts w:asciiTheme="majorHAnsi" w:hAnsiTheme="majorHAnsi" w:cs="Times New Roman"/>
              </w:rPr>
              <w:t>Solicitar à assessoria jurídica do CAU/BR as orientações acerca da autuação de leigo.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CA4308">
              <w:rPr>
                <w:rFonts w:asciiTheme="majorHAnsi" w:hAnsiTheme="majorHAnsi" w:cs="Times New Roman"/>
              </w:rPr>
              <w:t>Também ver Resolução 51 – Engenheiros Civis no Estado de MG.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CA4308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 w:rsidRPr="00CA4308">
              <w:rPr>
                <w:rFonts w:asciiTheme="majorHAnsi" w:hAnsiTheme="majorHAnsi" w:cs="Times New Roman"/>
              </w:rPr>
              <w:t>Maríndia Girardello</w:t>
            </w:r>
            <w:r w:rsidR="009F45A4">
              <w:rPr>
                <w:rFonts w:asciiTheme="majorHAnsi" w:hAnsiTheme="majorHAnsi" w:cs="Times New Roman"/>
              </w:rPr>
              <w:t>.</w:t>
            </w:r>
          </w:p>
        </w:tc>
      </w:tr>
      <w:tr w:rsidR="00A274BE" w:rsidRPr="009E47A2" w:rsidTr="00753D93">
        <w:trPr>
          <w:trHeight w:hRule="exact" w:val="1176"/>
        </w:trPr>
        <w:tc>
          <w:tcPr>
            <w:tcW w:w="239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BE" w:rsidRDefault="00A274BE" w:rsidP="0066688F">
            <w:pPr>
              <w:tabs>
                <w:tab w:val="left" w:pos="3343"/>
              </w:tabs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Cons. Oritz Adriano </w:t>
            </w:r>
            <w:r w:rsidRPr="009178D3">
              <w:rPr>
                <w:rFonts w:asciiTheme="majorHAnsi" w:hAnsiTheme="majorHAnsi" w:cs="Times New Roman"/>
              </w:rPr>
              <w:t>Adams de Campos</w:t>
            </w:r>
          </w:p>
        </w:tc>
        <w:tc>
          <w:tcPr>
            <w:tcW w:w="4716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BE" w:rsidRPr="009178D3" w:rsidRDefault="00A274BE" w:rsidP="00A274BE">
            <w:pPr>
              <w:spacing w:line="276" w:lineRule="auto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</w:t>
            </w:r>
            <w:r w:rsidRPr="00A274BE">
              <w:rPr>
                <w:rFonts w:asciiTheme="majorHAnsi" w:hAnsiTheme="majorHAnsi"/>
                <w:color w:val="000000"/>
              </w:rPr>
              <w:t>erificar, junto ao Sindicato dos Arquitetos e Urbanistas de Minas Gerais, de que forma conseguiram barrar a atuação dos engenheiros civis em projetos de arquitetura.</w:t>
            </w:r>
          </w:p>
          <w:p w:rsidR="00A274BE" w:rsidRPr="00CA4308" w:rsidRDefault="00A274BE" w:rsidP="0066688F">
            <w:pPr>
              <w:tabs>
                <w:tab w:val="left" w:pos="3343"/>
              </w:tabs>
              <w:rPr>
                <w:rFonts w:asciiTheme="majorHAnsi" w:hAnsiTheme="majorHAnsi" w:cs="Times New Roman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BE" w:rsidRPr="00CA4308" w:rsidRDefault="00A274BE" w:rsidP="0066688F">
            <w:pPr>
              <w:tabs>
                <w:tab w:val="left" w:pos="3343"/>
              </w:tabs>
              <w:rPr>
                <w:rFonts w:asciiTheme="majorHAnsi" w:hAnsiTheme="majorHAnsi" w:cs="Times New Roman"/>
              </w:rPr>
            </w:pPr>
            <w:r w:rsidRPr="00CA4308">
              <w:rPr>
                <w:rFonts w:asciiTheme="majorHAnsi" w:hAnsiTheme="majorHAnsi" w:cs="Times New Roman"/>
              </w:rPr>
              <w:t>Maríndia Girardello</w:t>
            </w:r>
            <w:r w:rsidR="009F45A4">
              <w:rPr>
                <w:rFonts w:asciiTheme="majorHAnsi" w:hAnsiTheme="majorHAnsi" w:cs="Times New Roman"/>
              </w:rPr>
              <w:t>.</w:t>
            </w:r>
          </w:p>
        </w:tc>
      </w:tr>
      <w:tr w:rsidR="00CA4308" w:rsidRPr="009E47A2" w:rsidTr="00753D93">
        <w:trPr>
          <w:trHeight w:hRule="exact" w:val="683"/>
        </w:trPr>
        <w:tc>
          <w:tcPr>
            <w:tcW w:w="239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CA4308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716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CA4308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 w:rsidRPr="00CA4308">
              <w:rPr>
                <w:rFonts w:asciiTheme="majorHAnsi" w:hAnsiTheme="majorHAnsi" w:cs="Times New Roman"/>
              </w:rPr>
              <w:t>Redigir ofício a ser enviado à UCS sobre o edital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4D0D48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Alexandre Noal dos Santos.</w:t>
            </w:r>
            <w:bookmarkStart w:id="0" w:name="_GoBack"/>
            <w:bookmarkEnd w:id="0"/>
          </w:p>
        </w:tc>
      </w:tr>
      <w:tr w:rsidR="00CA4308" w:rsidRPr="008112BC" w:rsidTr="00753D93">
        <w:trPr>
          <w:trHeight w:hRule="exact" w:val="863"/>
        </w:trPr>
        <w:tc>
          <w:tcPr>
            <w:tcW w:w="2398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9F45A4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</w:t>
            </w:r>
          </w:p>
        </w:tc>
        <w:tc>
          <w:tcPr>
            <w:tcW w:w="4716" w:type="dxa"/>
            <w:gridSpan w:val="6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CA4308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 w:rsidRPr="00CA4308">
              <w:rPr>
                <w:rFonts w:asciiTheme="majorHAnsi" w:hAnsiTheme="majorHAnsi" w:cs="Times New Roman"/>
              </w:rPr>
              <w:t>Abertura de processo administrativo para assinatura de site de pesquisa de editais de licitação.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308" w:rsidRPr="00CA4308" w:rsidRDefault="00753D93" w:rsidP="0066688F">
            <w:pPr>
              <w:tabs>
                <w:tab w:val="left" w:pos="3343"/>
              </w:tabs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Girardello.</w:t>
            </w:r>
          </w:p>
        </w:tc>
      </w:tr>
      <w:tr w:rsidR="00403F91" w:rsidRPr="009E47A2" w:rsidTr="00753D93">
        <w:trPr>
          <w:trHeight w:hRule="exact" w:val="340"/>
        </w:trPr>
        <w:tc>
          <w:tcPr>
            <w:tcW w:w="3663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166" w:type="dxa"/>
            <w:gridSpan w:val="5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3F91" w:rsidRPr="009E47A2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E47A2">
              <w:rPr>
                <w:rFonts w:asciiTheme="majorHAnsi" w:hAnsiTheme="majorHAnsi" w:cs="Times New Roman"/>
                <w:b/>
                <w:sz w:val="24"/>
                <w:szCs w:val="24"/>
              </w:rPr>
              <w:t>ASSINATURA</w:t>
            </w: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31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Enio von Marées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31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31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316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316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E47A2" w:rsidTr="00753D93">
        <w:trPr>
          <w:trHeight w:val="631"/>
        </w:trPr>
        <w:tc>
          <w:tcPr>
            <w:tcW w:w="9523" w:type="dxa"/>
            <w:gridSpan w:val="11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3F91" w:rsidRPr="009E47A2" w:rsidRDefault="00403F9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330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 jurídico Mauro Viera Maciel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9178D3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330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403F91" w:rsidRPr="009178D3" w:rsidTr="00753D93">
        <w:trPr>
          <w:trHeight w:val="631"/>
        </w:trPr>
        <w:tc>
          <w:tcPr>
            <w:tcW w:w="3663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9178D3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330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F91" w:rsidRPr="009178D3" w:rsidRDefault="00403F91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05" w:rsidRDefault="00F90605" w:rsidP="00A021E7">
      <w:pPr>
        <w:spacing w:after="0" w:line="240" w:lineRule="auto"/>
      </w:pPr>
      <w:r>
        <w:separator/>
      </w:r>
    </w:p>
  </w:endnote>
  <w:end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D0D48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05" w:rsidRDefault="00F90605" w:rsidP="00A021E7">
      <w:pPr>
        <w:spacing w:after="0" w:line="240" w:lineRule="auto"/>
      </w:pPr>
      <w:r>
        <w:separator/>
      </w:r>
    </w:p>
  </w:footnote>
  <w:footnote w:type="continuationSeparator" w:id="0">
    <w:p w:rsidR="00F90605" w:rsidRDefault="00F9060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CA6C7A"/>
    <w:multiLevelType w:val="hybridMultilevel"/>
    <w:tmpl w:val="A7028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6421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11689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20882"/>
    <w:multiLevelType w:val="hybridMultilevel"/>
    <w:tmpl w:val="2E2468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F7B89"/>
    <w:multiLevelType w:val="hybridMultilevel"/>
    <w:tmpl w:val="85AA655E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1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2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9D08F7"/>
    <w:multiLevelType w:val="hybridMultilevel"/>
    <w:tmpl w:val="4288DEA0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73579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AF2D6F"/>
    <w:multiLevelType w:val="hybridMultilevel"/>
    <w:tmpl w:val="4F641D48"/>
    <w:lvl w:ilvl="0" w:tplc="96F4882A">
      <w:start w:val="5"/>
      <w:numFmt w:val="bullet"/>
      <w:lvlText w:val="-"/>
      <w:lvlJc w:val="left"/>
      <w:pPr>
        <w:ind w:left="394" w:hanging="360"/>
      </w:pPr>
      <w:rPr>
        <w:rFonts w:ascii="Times New Roman" w:eastAsia="BatangChe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0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0F1038"/>
    <w:multiLevelType w:val="multilevel"/>
    <w:tmpl w:val="CC8EF2E4"/>
    <w:lvl w:ilvl="0">
      <w:start w:val="1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6">
    <w:nsid w:val="6EE17F97"/>
    <w:multiLevelType w:val="multilevel"/>
    <w:tmpl w:val="114AA9A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38048D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2366B"/>
    <w:multiLevelType w:val="hybridMultilevel"/>
    <w:tmpl w:val="820A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45"/>
  </w:num>
  <w:num w:numId="5">
    <w:abstractNumId w:val="4"/>
  </w:num>
  <w:num w:numId="6">
    <w:abstractNumId w:val="3"/>
  </w:num>
  <w:num w:numId="7">
    <w:abstractNumId w:val="37"/>
  </w:num>
  <w:num w:numId="8">
    <w:abstractNumId w:val="22"/>
  </w:num>
  <w:num w:numId="9">
    <w:abstractNumId w:val="33"/>
  </w:num>
  <w:num w:numId="10">
    <w:abstractNumId w:val="49"/>
  </w:num>
  <w:num w:numId="11">
    <w:abstractNumId w:val="32"/>
  </w:num>
  <w:num w:numId="12">
    <w:abstractNumId w:val="1"/>
  </w:num>
  <w:num w:numId="13">
    <w:abstractNumId w:val="31"/>
  </w:num>
  <w:num w:numId="14">
    <w:abstractNumId w:val="43"/>
  </w:num>
  <w:num w:numId="15">
    <w:abstractNumId w:val="42"/>
  </w:num>
  <w:num w:numId="16">
    <w:abstractNumId w:val="24"/>
  </w:num>
  <w:num w:numId="17">
    <w:abstractNumId w:val="19"/>
  </w:num>
  <w:num w:numId="18">
    <w:abstractNumId w:val="12"/>
  </w:num>
  <w:num w:numId="19">
    <w:abstractNumId w:val="17"/>
  </w:num>
  <w:num w:numId="20">
    <w:abstractNumId w:val="26"/>
  </w:num>
  <w:num w:numId="21">
    <w:abstractNumId w:val="14"/>
  </w:num>
  <w:num w:numId="22">
    <w:abstractNumId w:val="15"/>
  </w:num>
  <w:num w:numId="23">
    <w:abstractNumId w:val="23"/>
  </w:num>
  <w:num w:numId="24">
    <w:abstractNumId w:val="8"/>
  </w:num>
  <w:num w:numId="25">
    <w:abstractNumId w:val="34"/>
  </w:num>
  <w:num w:numId="26">
    <w:abstractNumId w:val="7"/>
  </w:num>
  <w:num w:numId="27">
    <w:abstractNumId w:val="28"/>
  </w:num>
  <w:num w:numId="28">
    <w:abstractNumId w:val="44"/>
  </w:num>
  <w:num w:numId="29">
    <w:abstractNumId w:val="40"/>
  </w:num>
  <w:num w:numId="30">
    <w:abstractNumId w:val="0"/>
  </w:num>
  <w:num w:numId="31">
    <w:abstractNumId w:val="39"/>
  </w:num>
  <w:num w:numId="32">
    <w:abstractNumId w:val="21"/>
  </w:num>
  <w:num w:numId="33">
    <w:abstractNumId w:val="27"/>
  </w:num>
  <w:num w:numId="34">
    <w:abstractNumId w:val="29"/>
  </w:num>
  <w:num w:numId="35">
    <w:abstractNumId w:val="9"/>
  </w:num>
  <w:num w:numId="36">
    <w:abstractNumId w:val="18"/>
  </w:num>
  <w:num w:numId="37">
    <w:abstractNumId w:val="30"/>
  </w:num>
  <w:num w:numId="38">
    <w:abstractNumId w:val="38"/>
  </w:num>
  <w:num w:numId="39">
    <w:abstractNumId w:val="11"/>
  </w:num>
  <w:num w:numId="40">
    <w:abstractNumId w:val="6"/>
  </w:num>
  <w:num w:numId="41">
    <w:abstractNumId w:val="47"/>
  </w:num>
  <w:num w:numId="42">
    <w:abstractNumId w:val="10"/>
  </w:num>
  <w:num w:numId="43">
    <w:abstractNumId w:val="36"/>
  </w:num>
  <w:num w:numId="44">
    <w:abstractNumId w:val="5"/>
  </w:num>
  <w:num w:numId="45">
    <w:abstractNumId w:val="41"/>
  </w:num>
  <w:num w:numId="46">
    <w:abstractNumId w:val="13"/>
  </w:num>
  <w:num w:numId="47">
    <w:abstractNumId w:val="35"/>
  </w:num>
  <w:num w:numId="48">
    <w:abstractNumId w:val="2"/>
  </w:num>
  <w:num w:numId="49">
    <w:abstractNumId w:val="46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0C0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0D4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5F1A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3D93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5A4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6A0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D7D27"/>
    <w:rsid w:val="00BE033F"/>
    <w:rsid w:val="00BE0B58"/>
    <w:rsid w:val="00BE0D31"/>
    <w:rsid w:val="00BE0DAE"/>
    <w:rsid w:val="00BE130E"/>
    <w:rsid w:val="00BE1F3E"/>
    <w:rsid w:val="00BE2FF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4C4"/>
    <w:rsid w:val="00C645D3"/>
    <w:rsid w:val="00C6472C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6C4"/>
    <w:rsid w:val="00CD5D93"/>
    <w:rsid w:val="00CD6E73"/>
    <w:rsid w:val="00CD76C4"/>
    <w:rsid w:val="00CE1960"/>
    <w:rsid w:val="00CE1EB0"/>
    <w:rsid w:val="00CE3032"/>
    <w:rsid w:val="00CE4F82"/>
    <w:rsid w:val="00CE570F"/>
    <w:rsid w:val="00CE64DB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34E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7233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06B2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3C2B-7025-4EAD-AC22-87A1F30D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7</Pages>
  <Words>2557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139</cp:revision>
  <cp:lastPrinted>2015-04-01T17:14:00Z</cp:lastPrinted>
  <dcterms:created xsi:type="dcterms:W3CDTF">2015-03-04T17:37:00Z</dcterms:created>
  <dcterms:modified xsi:type="dcterms:W3CDTF">2015-04-02T13:28:00Z</dcterms:modified>
</cp:coreProperties>
</file>