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2409"/>
        <w:gridCol w:w="4536"/>
      </w:tblGrid>
      <w:tr w:rsidR="00020BC5" w:rsidRPr="00424286" w:rsidTr="00A92C13">
        <w:trPr>
          <w:trHeight w:val="276"/>
        </w:trPr>
        <w:tc>
          <w:tcPr>
            <w:tcW w:w="9333" w:type="dxa"/>
            <w:gridSpan w:val="3"/>
            <w:shd w:val="clear" w:color="auto" w:fill="D9D9D9" w:themeFill="background1" w:themeFillShade="D9"/>
          </w:tcPr>
          <w:p w:rsidR="00020BC5" w:rsidRPr="00424286" w:rsidRDefault="00020BC5" w:rsidP="00C378D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378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C5A61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424286" w:rsidTr="005E5290">
        <w:tc>
          <w:tcPr>
            <w:tcW w:w="4797" w:type="dxa"/>
            <w:gridSpan w:val="2"/>
          </w:tcPr>
          <w:p w:rsidR="00020BC5" w:rsidRPr="00424286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15º </w:t>
            </w:r>
            <w:proofErr w:type="gramStart"/>
            <w:r w:rsidRPr="00424286">
              <w:rPr>
                <w:rFonts w:ascii="Times New Roman" w:hAnsi="Times New Roman" w:cs="Times New Roman"/>
                <w:sz w:val="24"/>
                <w:szCs w:val="24"/>
              </w:rPr>
              <w:t>andar</w:t>
            </w:r>
            <w:proofErr w:type="gramEnd"/>
          </w:p>
        </w:tc>
        <w:tc>
          <w:tcPr>
            <w:tcW w:w="4536" w:type="dxa"/>
          </w:tcPr>
          <w:p w:rsidR="00020BC5" w:rsidRPr="00424286" w:rsidRDefault="00020BC5" w:rsidP="00C378D2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5A3E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  <w:r w:rsidR="000A508A" w:rsidRPr="00424286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A92C13" w:rsidRPr="00424286" w:rsidTr="00A92C13">
        <w:tc>
          <w:tcPr>
            <w:tcW w:w="933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A92C13" w:rsidRPr="00424286" w:rsidRDefault="00A92C13" w:rsidP="00575A3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3E0">
              <w:rPr>
                <w:rFonts w:ascii="Times New Roman" w:hAnsi="Times New Roman" w:cs="Times New Roman"/>
                <w:sz w:val="24"/>
                <w:szCs w:val="24"/>
              </w:rPr>
              <w:t xml:space="preserve">Coordenador Carlos Eduardo Mesquita Pedone, Conselheiros Enio </w:t>
            </w:r>
            <w:proofErr w:type="gramStart"/>
            <w:r w:rsidR="00B743E0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gramEnd"/>
            <w:r w:rsidR="00B743E0">
              <w:rPr>
                <w:rFonts w:ascii="Times New Roman" w:hAnsi="Times New Roman" w:cs="Times New Roman"/>
                <w:sz w:val="24"/>
                <w:szCs w:val="24"/>
              </w:rPr>
              <w:t xml:space="preserve"> Marées e Rosana Oppitz</w:t>
            </w:r>
            <w:r w:rsidR="00C57041">
              <w:rPr>
                <w:rFonts w:ascii="Times New Roman" w:hAnsi="Times New Roman" w:cs="Times New Roman"/>
                <w:sz w:val="24"/>
                <w:szCs w:val="24"/>
              </w:rPr>
              <w:t>, Gerente Técnica e de Fiscalização Maríndia</w:t>
            </w:r>
            <w:r w:rsidR="002F468E">
              <w:rPr>
                <w:rFonts w:ascii="Times New Roman" w:hAnsi="Times New Roman" w:cs="Times New Roman"/>
                <w:sz w:val="24"/>
                <w:szCs w:val="24"/>
              </w:rPr>
              <w:t xml:space="preserve"> Izabel Girardello</w:t>
            </w:r>
            <w:r w:rsidR="00C57041">
              <w:rPr>
                <w:rFonts w:ascii="Times New Roman" w:hAnsi="Times New Roman" w:cs="Times New Roman"/>
                <w:sz w:val="24"/>
                <w:szCs w:val="24"/>
              </w:rPr>
              <w:t>, Assessor Jurídico Mauro</w:t>
            </w:r>
            <w:r w:rsidR="002F468E">
              <w:rPr>
                <w:rFonts w:ascii="Times New Roman" w:hAnsi="Times New Roman" w:cs="Times New Roman"/>
                <w:sz w:val="24"/>
                <w:szCs w:val="24"/>
              </w:rPr>
              <w:t xml:space="preserve"> Vieira Maciel</w:t>
            </w:r>
            <w:r w:rsidR="00C57041">
              <w:rPr>
                <w:rFonts w:ascii="Times New Roman" w:hAnsi="Times New Roman" w:cs="Times New Roman"/>
                <w:sz w:val="24"/>
                <w:szCs w:val="24"/>
              </w:rPr>
              <w:t xml:space="preserve"> e Secretária Executiva Claudivana Bittencourt.</w:t>
            </w:r>
          </w:p>
        </w:tc>
      </w:tr>
      <w:tr w:rsidR="00257879" w:rsidRPr="00424286" w:rsidTr="00DB102D">
        <w:tc>
          <w:tcPr>
            <w:tcW w:w="9333" w:type="dxa"/>
            <w:gridSpan w:val="3"/>
            <w:tcBorders>
              <w:bottom w:val="single" w:sz="4" w:space="0" w:color="000000" w:themeColor="text1"/>
            </w:tcBorders>
            <w:shd w:val="clear" w:color="auto" w:fill="18CEB8"/>
          </w:tcPr>
          <w:p w:rsidR="00257879" w:rsidRPr="00424286" w:rsidRDefault="00257879" w:rsidP="00DB102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24286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24286" w:rsidRPr="00922C4E" w:rsidRDefault="00922C4E" w:rsidP="00922C4E">
            <w:pPr>
              <w:pStyle w:val="PargrafodaLista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C4E">
              <w:rPr>
                <w:rFonts w:ascii="Times New Roman" w:hAnsi="Times New Roman" w:cs="Times New Roman"/>
                <w:b/>
                <w:sz w:val="24"/>
                <w:szCs w:val="24"/>
              </w:rPr>
              <w:t>Aprovaçã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da súmula da reunião anterior</w:t>
            </w:r>
          </w:p>
        </w:tc>
      </w:tr>
      <w:tr w:rsidR="00424286" w:rsidRPr="00424286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424286" w:rsidRPr="00424286" w:rsidRDefault="006F4F77" w:rsidP="006F74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Foi aprovada e assinada a súmula da reunião do dia 05/03/2015.</w:t>
            </w:r>
          </w:p>
        </w:tc>
      </w:tr>
      <w:tr w:rsidR="006876D2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6876D2" w:rsidRPr="00424286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1842FF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as súmulas aprovadas do mês de fevereiro aos Conselheiros.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1842FF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Exe. Claudivana</w:t>
            </w:r>
          </w:p>
        </w:tc>
      </w:tr>
      <w:tr w:rsidR="00424286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24286" w:rsidRPr="00424286" w:rsidRDefault="00922C4E" w:rsidP="00922C4E">
            <w:pPr>
              <w:pStyle w:val="PargrafodaLista"/>
              <w:numPr>
                <w:ilvl w:val="0"/>
                <w:numId w:val="40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C4E">
              <w:rPr>
                <w:rFonts w:ascii="Times New Roman" w:hAnsi="Times New Roman" w:cs="Times New Roman"/>
                <w:b/>
                <w:sz w:val="24"/>
                <w:szCs w:val="24"/>
              </w:rPr>
              <w:t>Planejamento Estratégico do CAU/RS – 3ª Reunião de Avaliação da Estra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tégia</w:t>
            </w:r>
          </w:p>
        </w:tc>
      </w:tr>
      <w:tr w:rsidR="00424286" w:rsidRPr="00424286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424286" w:rsidRPr="00424286" w:rsidRDefault="003E184E" w:rsidP="003F14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 Conselheiros recebem a ata da 3ª </w:t>
            </w:r>
            <w:r w:rsidR="003F1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para conhecimento</w:t>
            </w:r>
            <w:r w:rsidR="000D0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F1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Gerente Maríndia esclarece alguns pontos dos objetivos e metas definidos.</w:t>
            </w:r>
            <w:r w:rsidR="00721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Coord. Pedone sugere que seja pautado </w:t>
            </w:r>
            <w:r w:rsidR="00B3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assunto em nova reunião </w:t>
            </w:r>
            <w:r w:rsidR="00B40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CEP </w:t>
            </w:r>
            <w:r w:rsidR="00B3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 a participação da Ag. Fiscal Andrea</w:t>
            </w:r>
            <w:r w:rsidR="00B40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que fez relatos da Fiscalização na RAE,</w:t>
            </w:r>
            <w:r w:rsidR="00B34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da Gerente de Planejamento Ângela Rímolo.</w:t>
            </w:r>
          </w:p>
        </w:tc>
      </w:tr>
      <w:tr w:rsidR="006876D2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6876D2" w:rsidRPr="00424286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6B9" w:rsidRPr="00424286" w:rsidTr="00A92C13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5B46B9" w:rsidRPr="00424286" w:rsidRDefault="00922C4E" w:rsidP="00922C4E">
            <w:pPr>
              <w:pStyle w:val="PargrafodaLista"/>
              <w:numPr>
                <w:ilvl w:val="0"/>
                <w:numId w:val="40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C4E">
              <w:rPr>
                <w:rFonts w:ascii="Times New Roman" w:hAnsi="Times New Roman" w:cs="Times New Roman"/>
                <w:b/>
                <w:sz w:val="24"/>
                <w:szCs w:val="24"/>
              </w:rPr>
              <w:t>Resolução Nº 91 CAU/BR – novos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rocedimentos relativos aos RRTs</w:t>
            </w:r>
          </w:p>
        </w:tc>
      </w:tr>
      <w:tr w:rsidR="005B46B9" w:rsidRPr="00424286" w:rsidTr="00A92C13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5B46B9" w:rsidRDefault="0038013C" w:rsidP="00CA4B1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Gerente Maríndia </w:t>
            </w:r>
            <w:r w:rsidR="00CA4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explica as alterações a partir de tabela elaborada pelo Ag. Fiscal </w:t>
            </w:r>
            <w:proofErr w:type="gramStart"/>
            <w:r w:rsidR="00CA4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Rodrigo</w:t>
            </w:r>
            <w:r w:rsidR="00184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4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tbl>
            <w:tblPr>
              <w:tblW w:w="909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4"/>
              <w:gridCol w:w="850"/>
              <w:gridCol w:w="1701"/>
              <w:gridCol w:w="2694"/>
              <w:gridCol w:w="2268"/>
            </w:tblGrid>
            <w:tr w:rsidR="006F4F77" w:rsidRPr="006F4F77" w:rsidTr="00BF3B5C">
              <w:trPr>
                <w:trHeight w:val="240"/>
              </w:trPr>
              <w:tc>
                <w:tcPr>
                  <w:tcW w:w="9097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6F4F7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AJUSTES RESOLUÇÕES 91 E 93</w:t>
                  </w:r>
                </w:p>
              </w:tc>
            </w:tr>
            <w:tr w:rsidR="0071712B" w:rsidRPr="006F4F77" w:rsidTr="00BD387E">
              <w:trPr>
                <w:trHeight w:val="330"/>
              </w:trPr>
              <w:tc>
                <w:tcPr>
                  <w:tcW w:w="1584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171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Procedimento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171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Artigo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171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Como era</w:t>
                  </w:r>
                </w:p>
              </w:tc>
              <w:tc>
                <w:tcPr>
                  <w:tcW w:w="2694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171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Alteração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171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Observações e Definições do CAU/RS</w:t>
                  </w:r>
                </w:p>
              </w:tc>
            </w:tr>
            <w:tr w:rsidR="0071712B" w:rsidRPr="006F4F77" w:rsidTr="00BD387E">
              <w:trPr>
                <w:trHeight w:val="315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RRT Execução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Não depende de análise.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 único que será extemporâneo caso seja registrado após o início.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Não depende de análise. </w:t>
                  </w:r>
                </w:p>
              </w:tc>
            </w:tr>
            <w:tr w:rsidR="0071712B" w:rsidRPr="006F4F77" w:rsidTr="00BD387E">
              <w:trPr>
                <w:trHeight w:val="315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RRT Intelectual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Não depende de análise.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Podem ser registrados durante o andamento. Baixa Facultativa.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Não depende de análise. </w:t>
                  </w:r>
                </w:p>
              </w:tc>
            </w:tr>
            <w:tr w:rsidR="0071712B" w:rsidRPr="006F4F77" w:rsidTr="00BD387E">
              <w:trPr>
                <w:trHeight w:val="12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RRT de Cargo/Função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Era uma "modalidade" de RRT e dependia de análise do CAU/UF, feita pelos assistentes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administrativos.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Passou a ser um RRT simples, com a atividade do grupo "Gestão":</w:t>
                  </w:r>
                  <w:r w:rsidR="00800D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"Desempenho de Cargo ou Função técnica" e não depende mais de análise.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800D4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Será feita a triagem dos RRTs referentes </w:t>
                  </w:r>
                  <w:proofErr w:type="gramStart"/>
                  <w:r w:rsidR="00800D4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Resp. </w:t>
                  </w:r>
                  <w:r w:rsidR="00800D4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Téc.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por empresas- porque a Res. 28 não foi revogada, e exige verificação dos dados e cumprimento do Salário Mínimo Profissional.</w:t>
                  </w:r>
                </w:p>
              </w:tc>
            </w:tr>
            <w:tr w:rsidR="0071712B" w:rsidRPr="006F4F77" w:rsidTr="00BD387E">
              <w:trPr>
                <w:trHeight w:val="9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Individual ou equipe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Havia RRT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Individual, de </w:t>
                  </w:r>
                  <w:r w:rsidR="00800D4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Coautor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, de </w:t>
                  </w:r>
                  <w:r w:rsidR="00800D4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Corresponsável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e de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Equipe.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Não existe mais coautoria ou corresponsabilidade, todos registram como equipe. Para existir o vínculo sempre será necessário que os RRTs tenham o mesmo preenchimento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Não depende de análise</w:t>
                  </w:r>
                </w:p>
              </w:tc>
            </w:tr>
            <w:tr w:rsidR="0071712B" w:rsidRPr="006F4F77" w:rsidTr="00BD387E">
              <w:trPr>
                <w:trHeight w:val="6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Mínimo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Apenas para uma edificação residencial até 70 m2 ou para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fins sociais.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Além da residência unifamiliar pode ser registrado "produção habitacional" ou programas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habitacionais, pode utilizar projeto e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execução.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Auditoria semestral</w:t>
                  </w:r>
                </w:p>
              </w:tc>
            </w:tr>
            <w:tr w:rsidR="0071712B" w:rsidRPr="006F4F77" w:rsidTr="00BD387E">
              <w:trPr>
                <w:trHeight w:val="6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Derivado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Analisado pelos assistentes administrativos </w:t>
                  </w:r>
                  <w:proofErr w:type="gramStart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sob supervisão</w:t>
                  </w:r>
                  <w:proofErr w:type="gramEnd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dos analistas técnicos.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Análise e apreciação do CAU/UF, transferência acervo CREA - ART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permite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retificador normalmente.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Analisado pelos assistentes administrativos </w:t>
                  </w:r>
                  <w:proofErr w:type="gramStart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sob supervisão</w:t>
                  </w:r>
                  <w:proofErr w:type="gramEnd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dos analistas técnicos. </w:t>
                  </w:r>
                </w:p>
              </w:tc>
            </w:tr>
            <w:tr w:rsidR="0071712B" w:rsidRPr="006F4F77" w:rsidTr="00BD387E">
              <w:trPr>
                <w:trHeight w:val="12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Retificador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Analisado pelos assistentes administrativos </w:t>
                  </w:r>
                  <w:proofErr w:type="gramStart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sob supervisão</w:t>
                  </w:r>
                  <w:proofErr w:type="gramEnd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dos analistas técnicos.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Correção de dados ou alteração do objeto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Os Retificadores de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Derivados, Extemporâneos ou de atividade no exterior serão analisados pelos analistas técnicos- em caso de dúvidas levados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  <w:tr w:rsidR="0071712B" w:rsidRPr="006F4F77" w:rsidTr="00BD387E">
              <w:trPr>
                <w:trHeight w:val="12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Extemporâneo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 a 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Obrigatoriamente analisado pela CEP/UF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Análise e apreciação do CAU/UF, removida a obrigatoriedade de ser encaminhado à CEP conforme resoluções anteriores. Taxa de expediente, que converte em taxa de RRT e multa. A cobrança da multa está automática, incluindo descontos pra taxas de expediente e RRT pagas anteriormente.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será feita pelos analistas técnicos - em caso de dúvidas</w:t>
                  </w:r>
                  <w:r w:rsidR="0071712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levado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  <w:tr w:rsidR="0071712B" w:rsidRPr="006F4F77" w:rsidTr="00BD387E">
              <w:trPr>
                <w:trHeight w:val="9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Atividade no Exterior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 a 25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Obrigatoriamente analisado pela CEP/UF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Análise e apreciação do CAU/UF, removida a obrigatoriedade de ser encaminhado à CEP conforme resoluções anteriores. </w:t>
                  </w:r>
                  <w:r w:rsidR="00CF4983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Taxa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de expediente, taxa de RRT de 3x se aprovado.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será feita pelos analistas técnicos - em caso de dúvidas</w:t>
                  </w:r>
                  <w:r w:rsidR="0071712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levado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  <w:tr w:rsidR="0071712B" w:rsidRPr="006F4F77" w:rsidTr="00BD387E">
              <w:trPr>
                <w:trHeight w:val="12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Baixa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 a 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baixa era "solicitada" pelo profissional e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tinha que ser analisada e deferida pelo CAU/UF- no RS com parâmetros definidos pela CEP.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baixa é "efetuada" pelo profissional. Facultativa para atividades intelectuais, obrigatória para execução. Não permite baixa</w:t>
                  </w:r>
                  <w:r w:rsidR="00CF4983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parcial. Para atividade não concluída indica retificador. Prevê baixa por interrupção e fim de vínculo técnico. Deve ser feita auditoria semestral.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Não é mais feita a análise - exceto as de cargo - função de responsável técnico por empresa.  Auditoria semestral. </w:t>
                  </w:r>
                </w:p>
              </w:tc>
            </w:tr>
            <w:tr w:rsidR="0071712B" w:rsidRPr="006F4F77" w:rsidTr="00BD387E">
              <w:trPr>
                <w:trHeight w:val="12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Baixa Contratante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Obrigatoriamente analisado pela CEP/UF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Análise e apreciação do CAU/UF, removida a obrigatoriedade de ser encaminhado à CEP conforme resoluções anteriores. Omissão do arquiteto. Requer junto ao CAU. Notifica o arquiteto e permite prazo de 10 dias para defesa ou atendimento. Firma decisão.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será feita pelos analistas técnicos - em caso de dúvidas</w:t>
                  </w:r>
                  <w:r w:rsidR="0071712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levado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  <w:tr w:rsidR="0071712B" w:rsidRPr="006F4F77" w:rsidTr="00BD387E">
              <w:trPr>
                <w:trHeight w:val="6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71712B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Baixa</w:t>
                  </w:r>
                  <w:r w:rsidR="006F4F77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de ofício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Procedida pelos analistas técnicos.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800D4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Falecimento e registro suspenso/cancelado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será feita pelos analistas técnicos - em caso de dúvidas</w:t>
                  </w:r>
                  <w:r w:rsidR="0071712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levado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  <w:tr w:rsidR="0071712B" w:rsidRPr="006F4F77" w:rsidTr="00BD387E">
              <w:trPr>
                <w:trHeight w:val="9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71712B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Cancelamento</w:t>
                  </w:r>
                  <w:r w:rsidR="00CF49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6F4F77"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6F4F77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atividade não realizada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 a 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Obrigatoriamente analisado pela CEP/UF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Análise e apreciação do CAU/UF, removida a obrigatoriedade de ser encaminhado à CEP conforme resoluções anteriores. Nenhuma atividade realizada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será feita pelos analistas técnicos - em caso de dúvidas</w:t>
                  </w:r>
                  <w:r w:rsidR="0071712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levado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  <w:tr w:rsidR="0071712B" w:rsidRPr="006F4F77" w:rsidTr="00BD387E">
              <w:trPr>
                <w:trHeight w:val="1200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71712B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Nulidade</w:t>
                  </w:r>
                  <w:r w:rsidR="00CF49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6F4F77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- incorreção, não atribuição, acobertamento ou apropriação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indevida.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39 a 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Obrigatoriamente analisado pela CEP/UF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Análise e apreciação do CAU/UF, removida a obrigatoriedade de ser encaminhado à CEP conforme resoluções anteriores. Nos casos de incorreção notifica o </w:t>
                  </w:r>
                  <w:r w:rsidR="00CF4983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arq.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</w:t>
                  </w:r>
                  <w:proofErr w:type="gramEnd"/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CF4983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urb.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e permite prazo de 10 dias para defesa ou atendimento. Firma decisão.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será feita pelos analistas técnicos - em caso de dúvidas</w:t>
                  </w:r>
                  <w:r w:rsidR="0071712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levado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  <w:tr w:rsidR="0071712B" w:rsidRPr="006F4F77" w:rsidTr="00BD387E">
              <w:trPr>
                <w:trHeight w:val="615"/>
              </w:trPr>
              <w:tc>
                <w:tcPr>
                  <w:tcW w:w="158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CAT-A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7F41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Res. 93                     Art. 10 a 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é feita pelos analistas técnicos,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levando à CEP em caso de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dúvidas.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Análise e apreciação do CAU/UF, novas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exigências.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:rsidR="006F4F77" w:rsidRPr="006F4F77" w:rsidRDefault="006F4F77" w:rsidP="00CF498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análise será feita pelos analistas técnicos - em caso de dúvidas</w:t>
                  </w:r>
                  <w:r w:rsidR="0071712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levado à </w:t>
                  </w:r>
                  <w:r w:rsidR="0071712B" w:rsidRPr="006F4F7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CEP.</w:t>
                  </w:r>
                </w:p>
              </w:tc>
            </w:tr>
          </w:tbl>
          <w:p w:rsidR="006F4F77" w:rsidRDefault="006F4F77" w:rsidP="00CA4B1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2D84" w:rsidRDefault="008D5971" w:rsidP="008D597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Comissão decidiu, por unanimidade</w:t>
            </w:r>
            <w:r w:rsidR="00B2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08BF" w:rsidRDefault="00B22D84" w:rsidP="00B22D84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="003A0121" w:rsidRPr="00B2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ue será atendido rigorosamente o que determina a Resolução nº 9</w:t>
            </w:r>
            <w:r w:rsidR="00CD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em todos os aspectos, inclusive naqueles que retiram a obrigatoriedade de análise da CEP</w:t>
            </w:r>
            <w:r w:rsidR="003A0121" w:rsidRPr="00B2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passando a ser procedida pelos funcionários do CAU/RS- arquitetos e urbanistas- a análise e deferimento de requerimentos de registro de RRT Extemporâneo, Cancelamento de RRT</w:t>
            </w:r>
            <w:r w:rsidR="008D5971" w:rsidRPr="00B2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Anulação de RRT, RRT de atividade desenvolvida no exterior, baixa de RRT requerida pelo contratante. Caso surjam dúvidas na análise, será montado processo físico e encaminhado à CEP.  Mensalmente serão apresentados à CEP relatórios dos procedimentos efetuados. </w:t>
            </w:r>
          </w:p>
          <w:p w:rsidR="00B22D84" w:rsidRDefault="00B22D84" w:rsidP="00B22D84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 RRTs de cargo-função, embora não requeiram mais a aprovação do CAU para terem validade,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serão examinados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caso sejam referentes à responsabilidade técnica por pessoas jurídicas de direito privado, visando ao cumprimento da Resolução CAU/BR nº 21, inclusive quanto ao salário mínimo profissional. </w:t>
            </w:r>
          </w:p>
          <w:p w:rsidR="00B22D84" w:rsidRDefault="00B22D84" w:rsidP="00B22D84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 baixas de RRTs de cargo-função, embora também não requeiram a aprovação do CAU para terem validade, serão examinados caso sejam referentes a pessoas jurídicas de direito privado, visando ao cumprimento da Resolução CAU/BR nº 21, ou seja, exigindo que o profissional efetue a baixa de todos os RRTs de obras ou serviços realizados na condição de responsável técnico pela pessoa jurídica. </w:t>
            </w:r>
          </w:p>
          <w:p w:rsidR="00CD7788" w:rsidRPr="00B22D84" w:rsidRDefault="00CD7788" w:rsidP="00CD7788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tabela deve ser publicada para os profissionais, para esclarecimento das alterações promovidas pela Resolução CAU/BR nº 91. Deve ser preparada uma nova versão, retirando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informações apenas de interesse interno.</w:t>
            </w:r>
          </w:p>
        </w:tc>
      </w:tr>
      <w:tr w:rsidR="006876D2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6876D2" w:rsidRPr="00424286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CD7788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 aos funcionários do CAU/RS sobre as alterações de procedimentos; Preparar uma versão da tabela para publicação aos profissionais.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CD7788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Izabel Girardello</w:t>
            </w:r>
          </w:p>
        </w:tc>
      </w:tr>
      <w:tr w:rsidR="00580051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580051" w:rsidRPr="00585598" w:rsidRDefault="00BB13E0" w:rsidP="00BB13E0">
            <w:pPr>
              <w:pStyle w:val="PargrafodaLista"/>
              <w:numPr>
                <w:ilvl w:val="0"/>
                <w:numId w:val="40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Requerimentos de direito autoral – definição de procedimento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580051" w:rsidRPr="00424286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580051" w:rsidRPr="00424286" w:rsidRDefault="00A10A51" w:rsidP="00310F2F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Cópias digitais, certificação;</w:t>
            </w:r>
            <w:r w:rsidR="00A55F5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276D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minuta de relato – </w:t>
            </w:r>
            <w:r w:rsidR="00A55F5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texto que </w:t>
            </w:r>
            <w:proofErr w:type="gramStart"/>
            <w:r w:rsidR="00A55F59">
              <w:rPr>
                <w:rFonts w:ascii="Times New Roman" w:eastAsia="BatangChe" w:hAnsi="Times New Roman" w:cs="Times New Roman"/>
                <w:sz w:val="24"/>
                <w:szCs w:val="24"/>
              </w:rPr>
              <w:t>informe .</w:t>
            </w:r>
            <w:proofErr w:type="gramEnd"/>
            <w:r w:rsidR="00A55F59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C276D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76D5">
              <w:rPr>
                <w:rFonts w:ascii="Times New Roman" w:eastAsia="BatangChe" w:hAnsi="Times New Roman" w:cs="Times New Roman"/>
                <w:sz w:val="24"/>
                <w:szCs w:val="24"/>
              </w:rPr>
              <w:t>67 .</w:t>
            </w:r>
            <w:proofErr w:type="gramEnd"/>
            <w:r w:rsidR="00C276D5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A55F5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“banquinhos”;</w:t>
            </w:r>
            <w:r w:rsidR="00C276D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sem necessidade de parecer jurídico</w:t>
            </w:r>
            <w:r w:rsidR="004D007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lei </w:t>
            </w:r>
            <w:proofErr w:type="gramStart"/>
            <w:r w:rsidR="004D007B">
              <w:rPr>
                <w:rFonts w:ascii="Times New Roman" w:eastAsia="BatangChe" w:hAnsi="Times New Roman" w:cs="Times New Roman"/>
                <w:sz w:val="24"/>
                <w:szCs w:val="24"/>
              </w:rPr>
              <w:t>9610</w:t>
            </w:r>
            <w:proofErr w:type="gramEnd"/>
          </w:p>
        </w:tc>
      </w:tr>
      <w:tr w:rsidR="00C57523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B303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B303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C57523" w:rsidRPr="00424286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C57523" w:rsidP="006F74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C57523" w:rsidP="006F74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523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523" w:rsidRPr="00585598" w:rsidRDefault="00BB13E0" w:rsidP="00BB13E0">
            <w:pPr>
              <w:pStyle w:val="PargrafodaLista"/>
              <w:numPr>
                <w:ilvl w:val="0"/>
                <w:numId w:val="40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</w:t>
            </w:r>
          </w:p>
        </w:tc>
      </w:tr>
      <w:tr w:rsidR="00C57523" w:rsidRPr="00424286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A60E29" w:rsidRPr="00A60E29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12613/2014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053</w:t>
            </w:r>
            <w:r w:rsidR="0005117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decidiu pela remessa de ofício ao Ministério do Trabalho, bem como pela suspensão do processo administrativo até que seja identificado o CNPJ da pessoa jurídica.</w:t>
            </w:r>
          </w:p>
          <w:p w:rsidR="00A60E29" w:rsidRPr="00A60E29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7469/2014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056</w:t>
            </w:r>
            <w:r w:rsidR="00090D1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09613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decidiu pelo deferimento da baixa do registro, com a recomendação ao empresário individual de que, no exercício de suas atividades, sempre tenha o acompanhamento de responsável técnico arquiteto e urbanista, </w:t>
            </w:r>
            <w:proofErr w:type="gramStart"/>
            <w:r w:rsidR="0009613F">
              <w:rPr>
                <w:rFonts w:ascii="Times New Roman" w:eastAsia="BatangChe" w:hAnsi="Times New Roman" w:cs="Times New Roman"/>
                <w:sz w:val="24"/>
                <w:szCs w:val="24"/>
              </w:rPr>
              <w:t>sob pena</w:t>
            </w:r>
            <w:proofErr w:type="gramEnd"/>
            <w:r w:rsidR="0009613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infringir na legislação que rege este Conselho Profissional.</w:t>
            </w:r>
          </w:p>
          <w:p w:rsidR="00A60E29" w:rsidRPr="00A60E29" w:rsidRDefault="00223F98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Protocolo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179474</w:t>
            </w:r>
            <w:r w:rsidR="00A60E29"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/2014</w:t>
            </w:r>
            <w:r w:rsidR="00A60E29"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061</w:t>
            </w:r>
            <w:r w:rsidR="00F144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decidiu pela realização de novas diligências.</w:t>
            </w:r>
          </w:p>
          <w:p w:rsidR="00A60E29" w:rsidRPr="00A60E29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6709/2014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065</w:t>
            </w:r>
            <w:r w:rsidR="00223F9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Manutenção do auto; em face da sociedade empresária Global Empreendimentos Imobiliários </w:t>
            </w:r>
            <w:proofErr w:type="spellStart"/>
            <w:r w:rsidR="00223F98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223F9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ME por incorrer no art. 7º da Lei Federal 12.378/2010, aplicando-se multa prevista no art. 35, inciso X, da Resolução nº 22 do CAU/BR</w:t>
            </w:r>
            <w:r w:rsidR="001A5A5D">
              <w:rPr>
                <w:rFonts w:ascii="Times New Roman" w:eastAsia="BatangChe" w:hAnsi="Times New Roman" w:cs="Times New Roman"/>
                <w:sz w:val="24"/>
                <w:szCs w:val="24"/>
              </w:rPr>
              <w:t>, no valor mínimo</w:t>
            </w:r>
            <w:r w:rsidR="00223F98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A60E29" w:rsidRPr="00A60E29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5915/2014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068</w:t>
            </w:r>
            <w:r w:rsidR="005C45F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decidiu pela publicação de ato de intimação do auto de infração no Diário Oficial do Estado, dando ciência ao autuado do ato administrativo e oportunizando prazo para a defesa.</w:t>
            </w:r>
          </w:p>
          <w:p w:rsidR="00A60E29" w:rsidRPr="00A60E29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1124/2013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069</w:t>
            </w:r>
            <w:r w:rsidR="00192D7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decidiu pela publicação do ato de notificação preventiva no Diário Oficial do Estado, dando ciência à pessoa jurídica Empreiteira DRF LTDA do ato administrativo, oportunizando lhe prazo para regularização de 10 dias; decidiu ainda pela remessa de cópias do processo à Comissão de Ética e Disciplina para que aprecie se há elementos a ensejar a instauração de processo ético-disciplinar contra </w:t>
            </w:r>
            <w:proofErr w:type="gramStart"/>
            <w:r w:rsidR="00192D74">
              <w:rPr>
                <w:rFonts w:ascii="Times New Roman" w:eastAsia="BatangChe" w:hAnsi="Times New Roman" w:cs="Times New Roman"/>
                <w:sz w:val="24"/>
                <w:szCs w:val="24"/>
              </w:rPr>
              <w:t>a arquiteta</w:t>
            </w:r>
            <w:proofErr w:type="gramEnd"/>
            <w:r w:rsidR="00192D7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urbanista; e também, solicitar à Unidade de Fiscalização novas diligências para verificar se há RRTs emitidos pela arquiteta e urbanista, juntando-se ao processo cópias desses RRTs.</w:t>
            </w:r>
          </w:p>
          <w:p w:rsidR="00A60E29" w:rsidRPr="003241F2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vanish/>
                <w:sz w:val="24"/>
                <w:szCs w:val="24"/>
                <w:specVanish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13563/2014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072</w:t>
            </w:r>
            <w:r w:rsidR="003241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Manutenção do auto; aplicando-se a multa prevista no art. 35, inciso X, da Resolução n</w:t>
            </w:r>
            <w:proofErr w:type="gramStart"/>
          </w:p>
          <w:p w:rsidR="003241F2" w:rsidRDefault="003241F2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º 22 do CAU/BR, no valor mínimo, em face da Construtora </w:t>
            </w:r>
            <w:proofErr w:type="gramStart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Soma</w:t>
            </w:r>
            <w:proofErr w:type="gramEnd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Quatro </w:t>
            </w:r>
            <w:proofErr w:type="spellStart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ME, por prestar serviços na área da arquitetura sem registro no CAU (art. 7º da Lei Federal 12.378/2010).</w:t>
            </w:r>
          </w:p>
          <w:p w:rsidR="00A60E29" w:rsidRPr="00A60E29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12803/2014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074</w:t>
            </w:r>
            <w:r w:rsidR="00017BB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Manutenção do auto; em face da pessoa jurídica </w:t>
            </w:r>
            <w:proofErr w:type="spellStart"/>
            <w:r w:rsidR="00017BB1">
              <w:rPr>
                <w:rFonts w:ascii="Times New Roman" w:eastAsia="BatangChe" w:hAnsi="Times New Roman" w:cs="Times New Roman"/>
                <w:sz w:val="24"/>
                <w:szCs w:val="24"/>
              </w:rPr>
              <w:t>Innova</w:t>
            </w:r>
            <w:proofErr w:type="spellEnd"/>
            <w:r w:rsidR="00017BB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Projetos Paisagísticos e Floricultura </w:t>
            </w:r>
            <w:proofErr w:type="spellStart"/>
            <w:r w:rsidR="00017BB1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017BB1">
              <w:rPr>
                <w:rFonts w:ascii="Times New Roman" w:eastAsia="BatangChe" w:hAnsi="Times New Roman" w:cs="Times New Roman"/>
                <w:sz w:val="24"/>
                <w:szCs w:val="24"/>
              </w:rPr>
              <w:t>, por ausência de registro no CAU, aplicando-se a multa prevista no art. 35, inciso X, da Resolução nº 22 do CAU/BR, no valor mínimo.</w:t>
            </w:r>
          </w:p>
          <w:p w:rsidR="00A60E29" w:rsidRPr="00A60E29" w:rsidRDefault="00A60E29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15353/2015</w:t>
            </w:r>
            <w:r w:rsidRPr="00A60E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076</w:t>
            </w:r>
            <w:r w:rsidR="00977B2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decidiu pela remessa de ofício ao Ministério Público Estadual para que adote as providências cabíveis.</w:t>
            </w:r>
          </w:p>
          <w:p w:rsidR="00C57523" w:rsidRDefault="00EA4E9A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4643/2015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080</w:t>
            </w:r>
            <w:r w:rsidR="00B7225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Arquivamento; sem prejuízo de que seja orientada a arquiteta e urbanista a encaminhar ao síndico cópias dos RRTs para serem afixados em local visível.</w:t>
            </w:r>
          </w:p>
          <w:p w:rsidR="003C76F8" w:rsidRPr="005739FC" w:rsidRDefault="0010670B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4698/2015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081</w:t>
            </w:r>
            <w:r w:rsidR="005739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Arquivamento; sem prejuízo de que seja informado </w:t>
            </w:r>
            <w:proofErr w:type="gramStart"/>
            <w:r w:rsidR="005739FC">
              <w:rPr>
                <w:rFonts w:ascii="Times New Roman" w:eastAsia="BatangChe" w:hAnsi="Times New Roman" w:cs="Times New Roman"/>
                <w:sz w:val="24"/>
                <w:szCs w:val="24"/>
              </w:rPr>
              <w:t>à</w:t>
            </w:r>
            <w:proofErr w:type="gramEnd"/>
            <w:r w:rsidR="005739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arquiteta e urbanista denunciante que o CAU/RS busca, junto ao CAU/BR, uma solução para coibir a comercialização </w:t>
            </w:r>
            <w:r w:rsidR="005739FC" w:rsidRPr="005739FC">
              <w:rPr>
                <w:rFonts w:ascii="Times New Roman" w:eastAsia="BatangChe" w:hAnsi="Times New Roman" w:cs="Times New Roman"/>
                <w:i/>
                <w:sz w:val="24"/>
                <w:szCs w:val="24"/>
              </w:rPr>
              <w:t>online</w:t>
            </w:r>
            <w:r w:rsidR="005739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projetos de arquitetura de interiores e, ainda, a preços que aviltam a tabela de honorários dos arquitetos e urbanistas.</w:t>
            </w:r>
          </w:p>
          <w:p w:rsidR="003C76F8" w:rsidRDefault="00BD1714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12351/2014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082</w:t>
            </w:r>
            <w:r w:rsidR="00B0039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832A3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="00B0039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832A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Arquivamento; em razão da obtenção de registro pela </w:t>
            </w:r>
            <w:proofErr w:type="spellStart"/>
            <w:r w:rsidR="00B832A3">
              <w:rPr>
                <w:rFonts w:ascii="Times New Roman" w:eastAsia="BatangChe" w:hAnsi="Times New Roman" w:cs="Times New Roman"/>
                <w:sz w:val="24"/>
                <w:szCs w:val="24"/>
              </w:rPr>
              <w:t>Kaus</w:t>
            </w:r>
            <w:proofErr w:type="spellEnd"/>
            <w:r w:rsidR="00B832A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Pacheco </w:t>
            </w:r>
            <w:proofErr w:type="spellStart"/>
            <w:r w:rsidR="00B832A3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B832A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ME.</w:t>
            </w:r>
          </w:p>
          <w:p w:rsidR="003C76F8" w:rsidRDefault="00504ADD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721/2012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083</w:t>
            </w:r>
            <w:r w:rsidR="0062609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decidiu pela remessa da denúncia </w:t>
            </w:r>
            <w:r w:rsidR="0062609B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à Comissão de Ética e Disciplina, em cumprimento ao art. 49, IV, do Regimento Interno do CAU/RS.</w:t>
            </w:r>
          </w:p>
          <w:p w:rsidR="003C76F8" w:rsidRDefault="00504ADD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15822/2015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084</w:t>
            </w:r>
            <w:r w:rsidR="0085542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Manutenção do auto; em face da pessoa jurídica </w:t>
            </w:r>
            <w:proofErr w:type="spellStart"/>
            <w:r w:rsidR="00855424">
              <w:rPr>
                <w:rFonts w:ascii="Times New Roman" w:eastAsia="BatangChe" w:hAnsi="Times New Roman" w:cs="Times New Roman"/>
                <w:sz w:val="24"/>
                <w:szCs w:val="24"/>
              </w:rPr>
              <w:t>Guimape</w:t>
            </w:r>
            <w:proofErr w:type="spellEnd"/>
            <w:r w:rsidR="0085542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Construtora e Incorporadora </w:t>
            </w:r>
            <w:proofErr w:type="spellStart"/>
            <w:r w:rsidR="00855424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85542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ME, em razão da ausência de registro, aplicando-se a multa prevista no art. 35, inciso X, da Resolução nº 22 do CAU/BR</w:t>
            </w:r>
            <w:r w:rsidR="00D21B2D">
              <w:rPr>
                <w:rFonts w:ascii="Times New Roman" w:eastAsia="BatangChe" w:hAnsi="Times New Roman" w:cs="Times New Roman"/>
                <w:sz w:val="24"/>
                <w:szCs w:val="24"/>
              </w:rPr>
              <w:t>, no valor mínimo</w:t>
            </w:r>
            <w:r w:rsidR="00855424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3C76F8" w:rsidRDefault="00D85CAA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16224/2015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085</w:t>
            </w:r>
            <w:r w:rsidR="0077410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Arquivamento; em razão da obtenção de registro pela SPE Casemiro 100 Incorporação e Construção Ltda.</w:t>
            </w:r>
          </w:p>
          <w:p w:rsidR="003C76F8" w:rsidRDefault="00590D8C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Denúncia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4218/2014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086</w:t>
            </w:r>
            <w:r w:rsidR="005025E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Arquivamento; em razão de que a obra denunciada possui responsável técnico arquiteto e urbanista que emitiu os devidos registros de responsabilidade técnica (RRTs).</w:t>
            </w:r>
          </w:p>
          <w:p w:rsidR="003C76F8" w:rsidRDefault="008A0F24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11020/2014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087</w:t>
            </w:r>
            <w:r w:rsidR="007750A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Manutenção do auto; em face de ALM Const</w:t>
            </w:r>
            <w:r w:rsidR="0042359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rutora </w:t>
            </w:r>
            <w:proofErr w:type="spellStart"/>
            <w:r w:rsidR="00423594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423594">
              <w:rPr>
                <w:rFonts w:ascii="Times New Roman" w:eastAsia="BatangChe" w:hAnsi="Times New Roman" w:cs="Times New Roman"/>
                <w:sz w:val="24"/>
                <w:szCs w:val="24"/>
              </w:rPr>
              <w:t>, por ausência de re</w:t>
            </w:r>
            <w:r w:rsidR="007750A0">
              <w:rPr>
                <w:rFonts w:ascii="Times New Roman" w:eastAsia="BatangChe" w:hAnsi="Times New Roman" w:cs="Times New Roman"/>
                <w:sz w:val="24"/>
                <w:szCs w:val="24"/>
              </w:rPr>
              <w:t>gi</w:t>
            </w:r>
            <w:r w:rsidR="00423594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bookmarkStart w:id="0" w:name="_GoBack"/>
            <w:bookmarkEnd w:id="0"/>
            <w:r w:rsidR="007750A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tro no CAU/RS; A Comissão decidiu ainda pela expedição de notificação preventiva para a ASPEN apresentar o RRT de execução da obra projetada pela Arquiteta e Urbanista Carolina </w:t>
            </w:r>
            <w:proofErr w:type="spellStart"/>
            <w:r w:rsidR="007750A0">
              <w:rPr>
                <w:rFonts w:ascii="Times New Roman" w:eastAsia="BatangChe" w:hAnsi="Times New Roman" w:cs="Times New Roman"/>
                <w:sz w:val="24"/>
                <w:szCs w:val="24"/>
              </w:rPr>
              <w:t>Gaidzinski</w:t>
            </w:r>
            <w:proofErr w:type="spellEnd"/>
            <w:r w:rsidR="007750A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Martins.</w:t>
            </w:r>
          </w:p>
          <w:p w:rsidR="003C76F8" w:rsidRDefault="00875228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12603/2014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088</w:t>
            </w:r>
            <w:r w:rsidR="00035C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Cancelamento do auto e arquivamento; diante da regularidade de registro da pessoa jurídica </w:t>
            </w:r>
            <w:proofErr w:type="spellStart"/>
            <w:proofErr w:type="gramStart"/>
            <w:r w:rsidR="00035CE3">
              <w:rPr>
                <w:rFonts w:ascii="Times New Roman" w:eastAsia="BatangChe" w:hAnsi="Times New Roman" w:cs="Times New Roman"/>
                <w:sz w:val="24"/>
                <w:szCs w:val="24"/>
              </w:rPr>
              <w:t>SulSystem</w:t>
            </w:r>
            <w:proofErr w:type="spellEnd"/>
            <w:proofErr w:type="gramEnd"/>
            <w:r w:rsidR="00035C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Comercio de Material de Construção de Serviços </w:t>
            </w:r>
            <w:proofErr w:type="spellStart"/>
            <w:r w:rsidR="00035CE3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035C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ME junto ao CAU/RS.</w:t>
            </w:r>
          </w:p>
          <w:p w:rsidR="003C76F8" w:rsidRDefault="00A35B68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15552/2015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089</w:t>
            </w:r>
            <w:r w:rsidR="00482FA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Manutenção do auto; em face da pessoa jurídica </w:t>
            </w:r>
            <w:proofErr w:type="spellStart"/>
            <w:r w:rsidR="00482FA6">
              <w:rPr>
                <w:rFonts w:ascii="Times New Roman" w:eastAsia="BatangChe" w:hAnsi="Times New Roman" w:cs="Times New Roman"/>
                <w:sz w:val="24"/>
                <w:szCs w:val="24"/>
              </w:rPr>
              <w:t>Hab</w:t>
            </w:r>
            <w:r w:rsidR="00A2098F">
              <w:rPr>
                <w:rFonts w:ascii="Times New Roman" w:eastAsia="BatangChe" w:hAnsi="Times New Roman" w:cs="Times New Roman"/>
                <w:sz w:val="24"/>
                <w:szCs w:val="24"/>
              </w:rPr>
              <w:t>itec</w:t>
            </w:r>
            <w:proofErr w:type="spellEnd"/>
            <w:r w:rsidR="00A2098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Sistemas Construtivos </w:t>
            </w:r>
            <w:proofErr w:type="spellStart"/>
            <w:r w:rsidR="00A2098F">
              <w:rPr>
                <w:rFonts w:ascii="Times New Roman" w:eastAsia="BatangChe" w:hAnsi="Times New Roman" w:cs="Times New Roman"/>
                <w:sz w:val="24"/>
                <w:szCs w:val="24"/>
              </w:rPr>
              <w:t>Ltda</w:t>
            </w:r>
            <w:proofErr w:type="spellEnd"/>
            <w:r w:rsidR="00A2098F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 w:rsidR="00482FA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razão da ausência de registro, aplicando-se a multa prevista no art. 35, inciso X, da Resolução nº22 do CAU/BR, no valor mínimo.</w:t>
            </w:r>
          </w:p>
          <w:p w:rsidR="003C76F8" w:rsidRDefault="00D16CEA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12517/2014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090</w:t>
            </w:r>
            <w:r w:rsidR="00A2098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Manutenção do auto e aplicação da multa; contra a pessoa jurídica </w:t>
            </w:r>
            <w:proofErr w:type="spellStart"/>
            <w:r w:rsidR="00A2098F">
              <w:rPr>
                <w:rFonts w:ascii="Times New Roman" w:eastAsia="BatangChe" w:hAnsi="Times New Roman" w:cs="Times New Roman"/>
                <w:sz w:val="24"/>
                <w:szCs w:val="24"/>
              </w:rPr>
              <w:t>Bublitz</w:t>
            </w:r>
            <w:proofErr w:type="spellEnd"/>
            <w:r w:rsidR="00A2098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Construtora Ltda.</w:t>
            </w:r>
          </w:p>
          <w:p w:rsidR="003C76F8" w:rsidRPr="00424286" w:rsidRDefault="00EF3C10" w:rsidP="00A60E29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Processo </w:t>
            </w:r>
            <w:r w:rsidRPr="00825B5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12933/2014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Deliberação Nº </w:t>
            </w:r>
            <w:r w:rsidR="003C76F8">
              <w:rPr>
                <w:rFonts w:ascii="Times New Roman" w:eastAsia="BatangChe" w:hAnsi="Times New Roman" w:cs="Times New Roman"/>
                <w:sz w:val="24"/>
                <w:szCs w:val="24"/>
              </w:rPr>
              <w:t>092</w:t>
            </w:r>
            <w:r w:rsidR="00343B6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decidiu pelo encaminhamento dos autos à Comissão de Ética e Disciplina para averiguar os fatos da denúncia.</w:t>
            </w:r>
          </w:p>
        </w:tc>
      </w:tr>
      <w:tr w:rsidR="00C57523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B303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B303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C57523" w:rsidRPr="00424286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2B5E0C" w:rsidP="006F74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processos devem ser encaminhados para os setores responsáveis.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2B5E0C" w:rsidP="006F74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Secretária </w:t>
            </w:r>
          </w:p>
        </w:tc>
      </w:tr>
      <w:tr w:rsidR="00C57523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523" w:rsidRPr="006C4E3E" w:rsidRDefault="004D007B" w:rsidP="006C4E3E">
            <w:pPr>
              <w:pStyle w:val="PargrafodaLista"/>
              <w:numPr>
                <w:ilvl w:val="0"/>
                <w:numId w:val="40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Assuntos gerais</w:t>
            </w:r>
          </w:p>
        </w:tc>
      </w:tr>
      <w:tr w:rsidR="00C57523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007B" w:rsidRPr="004F0EFC" w:rsidRDefault="004D007B" w:rsidP="00793B1B">
            <w:pPr>
              <w:pStyle w:val="PargrafodaLista"/>
              <w:numPr>
                <w:ilvl w:val="1"/>
                <w:numId w:val="48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Concursos </w:t>
            </w:r>
            <w:proofErr w:type="spellStart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Fundatec</w:t>
            </w:r>
            <w:proofErr w:type="spellEnd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(incorporar à rotina casos de concursos já concluídos</w:t>
            </w:r>
            <w:r w:rsidR="00AF78B0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antes </w:t>
            </w:r>
            <w:r w:rsidR="00AF78B0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da posse, medida legal;</w:t>
            </w: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encaminhar à Coord. Jurídica;</w:t>
            </w:r>
          </w:p>
          <w:p w:rsidR="004D007B" w:rsidRPr="004F0EFC" w:rsidRDefault="00793B1B" w:rsidP="00793B1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6.2. </w:t>
            </w:r>
            <w:r w:rsidR="005936DF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Listagem dos Conselhos</w:t>
            </w:r>
            <w:r w:rsidR="00907599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ofícios</w:t>
            </w:r>
            <w:r w:rsidR="005936DF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</w:p>
          <w:p w:rsidR="005936DF" w:rsidRPr="004F0EFC" w:rsidRDefault="005936DF" w:rsidP="00793B1B">
            <w:pPr>
              <w:pStyle w:val="PargrafodaLista"/>
              <w:numPr>
                <w:ilvl w:val="1"/>
                <w:numId w:val="49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Fiscalização Dell </w:t>
            </w:r>
            <w:proofErr w:type="spellStart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Anno</w:t>
            </w:r>
            <w:proofErr w:type="spellEnd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NH;</w:t>
            </w:r>
          </w:p>
          <w:p w:rsidR="002B5E0C" w:rsidRPr="004F0EFC" w:rsidRDefault="002B5E0C" w:rsidP="002B5E0C">
            <w:pPr>
              <w:pStyle w:val="PargrafodaLista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Conselheira Rosana </w:t>
            </w:r>
            <w:proofErr w:type="spellStart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Oppitz</w:t>
            </w:r>
            <w:proofErr w:type="spellEnd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trouxe um material de publicidade</w:t>
            </w:r>
            <w:r w:rsidR="00B50C78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que é apresentado o profissional Claudio Silvia </w:t>
            </w:r>
            <w:proofErr w:type="spellStart"/>
            <w:r w:rsidR="00B50C78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Garofalo</w:t>
            </w:r>
            <w:proofErr w:type="spellEnd"/>
            <w:r w:rsidR="00B50C78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como arquiteto italiano que reside em São Leopoldo e trabalha como consultor de ambientes na empresa Dell </w:t>
            </w:r>
            <w:proofErr w:type="spellStart"/>
            <w:r w:rsidR="00B50C78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Anno</w:t>
            </w:r>
            <w:proofErr w:type="spellEnd"/>
            <w:r w:rsidR="00B50C78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Novo Hamburgo.  Solicitou encaminhar aos agentes fiscais para as providências de fiscalização. </w:t>
            </w:r>
          </w:p>
          <w:p w:rsidR="008E230B" w:rsidRPr="004F0EFC" w:rsidRDefault="008E230B" w:rsidP="00793B1B">
            <w:pPr>
              <w:pStyle w:val="PargrafodaLista"/>
              <w:numPr>
                <w:ilvl w:val="1"/>
                <w:numId w:val="49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Coord. Jurídico – inclusão do parecer técnico nos processos;</w:t>
            </w:r>
          </w:p>
          <w:p w:rsidR="00646C5A" w:rsidRPr="004F0EFC" w:rsidRDefault="00646C5A" w:rsidP="00793B1B">
            <w:pPr>
              <w:pStyle w:val="PargrafodaLista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Conselheira Rosana </w:t>
            </w:r>
            <w:proofErr w:type="spellStart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Oppitz</w:t>
            </w:r>
            <w:proofErr w:type="spellEnd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questionou a anexação de um parecer jurídico feita em um dos processos de fiscalização, porque tem o entendimento de que os pareceres feitos dentro do procedimento de rotina nos processos, os quais fundamentam o parecer do conselheiro e a posterior deliberação da Comissão, não devem ser anexados ao processo antes da análise da Comiss</w:t>
            </w:r>
            <w:r w:rsidR="00793B1B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ão. Como esse parecer específico foi elaborado por um dos outros assessores jurídicos, o Advogado Mauro solicitou que seja chamado o Advogado Fausto Loureiro, gerente geral e coordenador da assessoria jurídica, para expor a ele essa demanda da Comissão. </w:t>
            </w:r>
          </w:p>
          <w:p w:rsidR="008E230B" w:rsidRPr="004F0EFC" w:rsidRDefault="002D0883" w:rsidP="00793B1B">
            <w:pPr>
              <w:pStyle w:val="PargrafodaLista"/>
              <w:numPr>
                <w:ilvl w:val="1"/>
                <w:numId w:val="49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Listagem </w:t>
            </w:r>
            <w:r w:rsidR="00067F63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dos assuntos pendentes para verificação/monitoramento</w:t>
            </w:r>
            <w:r w:rsidR="005D3CE7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(item da pauta)</w:t>
            </w:r>
            <w:r w:rsidR="00067F63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8F4F44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planilha de acompanhamento;</w:t>
            </w:r>
          </w:p>
          <w:p w:rsidR="002D0883" w:rsidRPr="004F0EFC" w:rsidRDefault="008F4F44" w:rsidP="004F0EFC">
            <w:pPr>
              <w:pStyle w:val="PargrafodaLista"/>
              <w:numPr>
                <w:ilvl w:val="1"/>
                <w:numId w:val="50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Ofício sobre representação no COESPPCI – validar o</w:t>
            </w:r>
            <w:r w:rsidR="003A0121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q</w:t>
            </w:r>
            <w:r w:rsidR="003A0121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ue</w:t>
            </w: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foi definido em Plenário;</w:t>
            </w:r>
          </w:p>
          <w:p w:rsidR="008F4F44" w:rsidRPr="004F0EFC" w:rsidRDefault="008F4F44" w:rsidP="004F0EFC">
            <w:pPr>
              <w:pStyle w:val="PargrafodaLista"/>
              <w:numPr>
                <w:ilvl w:val="1"/>
                <w:numId w:val="50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Procedimentos </w:t>
            </w:r>
            <w:r w:rsidR="00DD4CAB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para publicações </w:t>
            </w: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em editais;</w:t>
            </w:r>
          </w:p>
          <w:p w:rsidR="000B73FF" w:rsidRPr="004F0EFC" w:rsidRDefault="0002161B" w:rsidP="0002161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6.8</w:t>
            </w:r>
            <w:r w:rsidR="004F0EFC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B73FF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Feiras e eventos, mostras – responsabilizar os organizadores</w:t>
            </w:r>
            <w:r w:rsidR="001C65EA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pessoa jurídica</w:t>
            </w:r>
            <w:r w:rsidR="000B73FF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</w:p>
          <w:p w:rsidR="008D6BD2" w:rsidRPr="004F0EFC" w:rsidRDefault="008D6BD2" w:rsidP="008D6BD2">
            <w:pPr>
              <w:pStyle w:val="PargrafodaLista"/>
              <w:ind w:left="360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Conselheira Silvia </w:t>
            </w:r>
            <w:proofErr w:type="spellStart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Barakat</w:t>
            </w:r>
            <w:proofErr w:type="spellEnd"/>
            <w:r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propõe que, nos eventos em que são identificadas irregularidades – ambientes sem responsáveis técnicos – sejam responsabilizados os organizadores do evento</w:t>
            </w:r>
            <w:r w:rsidR="0002161B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, normalmente pessoas jurídicas. Esse procedimento será levado aos agentes fiscais para estudar a sua aplicação. </w:t>
            </w:r>
          </w:p>
          <w:p w:rsidR="00210305" w:rsidRPr="004F0EFC" w:rsidRDefault="004F0EFC" w:rsidP="0002161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6.9 </w:t>
            </w:r>
            <w:r w:rsidR="00210305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Revisão</w:t>
            </w:r>
            <w:proofErr w:type="gramEnd"/>
            <w:r w:rsidR="00210305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planejamento 2015</w:t>
            </w:r>
            <w:r w:rsidR="0002161B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>-</w:t>
            </w:r>
            <w:r w:rsidR="00981A01" w:rsidRPr="004F0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19/03;</w:t>
            </w:r>
          </w:p>
        </w:tc>
      </w:tr>
      <w:tr w:rsidR="00C57523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F0EFC" w:rsidRDefault="00C57523" w:rsidP="00B303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AF2737" w:rsidRDefault="00C57523" w:rsidP="00B303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C57523" w:rsidRPr="00424286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Default="0002161B" w:rsidP="006F74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 – encaminhar aos agentes fiscais</w:t>
            </w:r>
            <w:r w:rsidR="004F0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61B" w:rsidRDefault="0002161B" w:rsidP="006F744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4F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0EFC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onvidar o gerente geral para a próxima reunião</w:t>
            </w:r>
            <w:r w:rsidR="004F0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61B" w:rsidRPr="00424286" w:rsidRDefault="0002161B" w:rsidP="004F0EF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 </w:t>
            </w:r>
            <w:r w:rsidR="004F0E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elaborar planilha de acompanhamento das providências da reunião para todos os assuntos decididos. 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57523" w:rsidRPr="00424286" w:rsidRDefault="0002161B" w:rsidP="004F0EF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Assessora Técnica e Secretária </w:t>
            </w:r>
            <w:proofErr w:type="spellStart"/>
            <w:r w:rsidR="004F0EFC"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  <w:proofErr w:type="spellEnd"/>
            <w:r w:rsidR="004F0EFC">
              <w:rPr>
                <w:rFonts w:ascii="Times New Roman" w:hAnsi="Times New Roman" w:cs="Times New Roman"/>
                <w:sz w:val="24"/>
                <w:szCs w:val="24"/>
              </w:rPr>
              <w:t xml:space="preserve"> Bittencourt.</w:t>
            </w:r>
          </w:p>
        </w:tc>
      </w:tr>
      <w:tr w:rsidR="00C57523" w:rsidRPr="00424286" w:rsidTr="003D102F">
        <w:trPr>
          <w:trHeight w:hRule="exact" w:val="340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F0A3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C57523" w:rsidRPr="00424286" w:rsidTr="003D102F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221851" w:rsidP="003D102F">
            <w:pPr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221851" w:rsidP="003D102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3D102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51" w:rsidRPr="00424286" w:rsidTr="00EE4FE7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Marées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51" w:rsidRPr="00424286" w:rsidTr="00EE4FE7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51" w:rsidRPr="00424286" w:rsidTr="00EE4FE7">
        <w:trPr>
          <w:trHeight w:val="631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221851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EE4FE7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51" w:rsidRPr="00424286" w:rsidTr="003D102F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Default="00221851" w:rsidP="003D102F">
            <w:pPr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Sílvia Monteiro Barakat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345D7C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851" w:rsidRPr="00424286" w:rsidRDefault="00221851" w:rsidP="003D102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BD562A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71" w:rsidRDefault="00C32571" w:rsidP="00A021E7">
      <w:pPr>
        <w:spacing w:after="0" w:line="240" w:lineRule="auto"/>
      </w:pPr>
      <w:r>
        <w:separator/>
      </w:r>
    </w:p>
  </w:endnote>
  <w:endnote w:type="continuationSeparator" w:id="0">
    <w:p w:rsidR="00C32571" w:rsidRDefault="00C3257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AD57C4" w:rsidRDefault="00AD57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94">
          <w:rPr>
            <w:noProof/>
          </w:rPr>
          <w:t>2</w:t>
        </w:r>
        <w:r>
          <w:fldChar w:fldCharType="end"/>
        </w:r>
      </w:p>
    </w:sdtContent>
  </w:sdt>
  <w:p w:rsidR="00AD57C4" w:rsidRPr="00AA6825" w:rsidRDefault="00AD57C4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71" w:rsidRDefault="00C32571" w:rsidP="00A021E7">
      <w:pPr>
        <w:spacing w:after="0" w:line="240" w:lineRule="auto"/>
      </w:pPr>
      <w:r>
        <w:separator/>
      </w:r>
    </w:p>
  </w:footnote>
  <w:footnote w:type="continuationSeparator" w:id="0">
    <w:p w:rsidR="00C32571" w:rsidRDefault="00C3257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C4" w:rsidRDefault="00AD57C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1F0F"/>
    <w:multiLevelType w:val="hybridMultilevel"/>
    <w:tmpl w:val="999ECCC8"/>
    <w:lvl w:ilvl="0" w:tplc="0294225C"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6421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3247E"/>
    <w:multiLevelType w:val="hybridMultilevel"/>
    <w:tmpl w:val="FB78B08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F3C42"/>
    <w:multiLevelType w:val="multilevel"/>
    <w:tmpl w:val="FF4CB5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11689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20882"/>
    <w:multiLevelType w:val="hybridMultilevel"/>
    <w:tmpl w:val="2E246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2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3579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0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5">
    <w:nsid w:val="709F4FC0"/>
    <w:multiLevelType w:val="multilevel"/>
    <w:tmpl w:val="57B06B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38048D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A83C9B"/>
    <w:multiLevelType w:val="multilevel"/>
    <w:tmpl w:val="7D94FF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DEE5C2A"/>
    <w:multiLevelType w:val="multilevel"/>
    <w:tmpl w:val="26B2C2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44"/>
  </w:num>
  <w:num w:numId="5">
    <w:abstractNumId w:val="4"/>
  </w:num>
  <w:num w:numId="6">
    <w:abstractNumId w:val="3"/>
  </w:num>
  <w:num w:numId="7">
    <w:abstractNumId w:val="37"/>
  </w:num>
  <w:num w:numId="8">
    <w:abstractNumId w:val="23"/>
  </w:num>
  <w:num w:numId="9">
    <w:abstractNumId w:val="34"/>
  </w:num>
  <w:num w:numId="10">
    <w:abstractNumId w:val="49"/>
  </w:num>
  <w:num w:numId="11">
    <w:abstractNumId w:val="33"/>
  </w:num>
  <w:num w:numId="12">
    <w:abstractNumId w:val="2"/>
  </w:num>
  <w:num w:numId="13">
    <w:abstractNumId w:val="32"/>
  </w:num>
  <w:num w:numId="14">
    <w:abstractNumId w:val="42"/>
  </w:num>
  <w:num w:numId="15">
    <w:abstractNumId w:val="41"/>
  </w:num>
  <w:num w:numId="16">
    <w:abstractNumId w:val="25"/>
  </w:num>
  <w:num w:numId="17">
    <w:abstractNumId w:val="20"/>
  </w:num>
  <w:num w:numId="18">
    <w:abstractNumId w:val="14"/>
  </w:num>
  <w:num w:numId="19">
    <w:abstractNumId w:val="18"/>
  </w:num>
  <w:num w:numId="20">
    <w:abstractNumId w:val="27"/>
  </w:num>
  <w:num w:numId="21">
    <w:abstractNumId w:val="15"/>
  </w:num>
  <w:num w:numId="22">
    <w:abstractNumId w:val="16"/>
  </w:num>
  <w:num w:numId="23">
    <w:abstractNumId w:val="24"/>
  </w:num>
  <w:num w:numId="24">
    <w:abstractNumId w:val="10"/>
  </w:num>
  <w:num w:numId="25">
    <w:abstractNumId w:val="35"/>
  </w:num>
  <w:num w:numId="26">
    <w:abstractNumId w:val="9"/>
  </w:num>
  <w:num w:numId="27">
    <w:abstractNumId w:val="29"/>
  </w:num>
  <w:num w:numId="28">
    <w:abstractNumId w:val="43"/>
  </w:num>
  <w:num w:numId="29">
    <w:abstractNumId w:val="40"/>
  </w:num>
  <w:num w:numId="30">
    <w:abstractNumId w:val="0"/>
  </w:num>
  <w:num w:numId="31">
    <w:abstractNumId w:val="39"/>
  </w:num>
  <w:num w:numId="32">
    <w:abstractNumId w:val="22"/>
  </w:num>
  <w:num w:numId="33">
    <w:abstractNumId w:val="28"/>
  </w:num>
  <w:num w:numId="34">
    <w:abstractNumId w:val="30"/>
  </w:num>
  <w:num w:numId="35">
    <w:abstractNumId w:val="11"/>
  </w:num>
  <w:num w:numId="36">
    <w:abstractNumId w:val="19"/>
  </w:num>
  <w:num w:numId="37">
    <w:abstractNumId w:val="31"/>
  </w:num>
  <w:num w:numId="38">
    <w:abstractNumId w:val="38"/>
  </w:num>
  <w:num w:numId="39">
    <w:abstractNumId w:val="13"/>
  </w:num>
  <w:num w:numId="40">
    <w:abstractNumId w:val="6"/>
  </w:num>
  <w:num w:numId="41">
    <w:abstractNumId w:val="46"/>
  </w:num>
  <w:num w:numId="42">
    <w:abstractNumId w:val="12"/>
  </w:num>
  <w:num w:numId="43">
    <w:abstractNumId w:val="36"/>
  </w:num>
  <w:num w:numId="44">
    <w:abstractNumId w:val="5"/>
  </w:num>
  <w:num w:numId="45">
    <w:abstractNumId w:val="1"/>
  </w:num>
  <w:num w:numId="46">
    <w:abstractNumId w:val="7"/>
  </w:num>
  <w:num w:numId="47">
    <w:abstractNumId w:val="8"/>
  </w:num>
  <w:num w:numId="48">
    <w:abstractNumId w:val="47"/>
  </w:num>
  <w:num w:numId="49">
    <w:abstractNumId w:val="4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BB1"/>
    <w:rsid w:val="00017C4B"/>
    <w:rsid w:val="000202FE"/>
    <w:rsid w:val="00020AB8"/>
    <w:rsid w:val="00020BC5"/>
    <w:rsid w:val="00020BD2"/>
    <w:rsid w:val="00020D67"/>
    <w:rsid w:val="0002161B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CE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17F"/>
    <w:rsid w:val="0005123F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67F63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0D1A"/>
    <w:rsid w:val="00091E58"/>
    <w:rsid w:val="00092069"/>
    <w:rsid w:val="00092C3D"/>
    <w:rsid w:val="00092C5C"/>
    <w:rsid w:val="000930D1"/>
    <w:rsid w:val="000930EF"/>
    <w:rsid w:val="00093533"/>
    <w:rsid w:val="0009375E"/>
    <w:rsid w:val="00093D59"/>
    <w:rsid w:val="00093F73"/>
    <w:rsid w:val="0009613F"/>
    <w:rsid w:val="0009750A"/>
    <w:rsid w:val="000977D9"/>
    <w:rsid w:val="00097893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B73FF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020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5CEF"/>
    <w:rsid w:val="00105DF8"/>
    <w:rsid w:val="0010602D"/>
    <w:rsid w:val="0010670B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2FF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2D7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594"/>
    <w:rsid w:val="001A31AB"/>
    <w:rsid w:val="001A36EF"/>
    <w:rsid w:val="001A38CD"/>
    <w:rsid w:val="001A41AE"/>
    <w:rsid w:val="001A55E6"/>
    <w:rsid w:val="001A56F8"/>
    <w:rsid w:val="001A5A5D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5E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305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2E1C"/>
    <w:rsid w:val="0022361A"/>
    <w:rsid w:val="002237D6"/>
    <w:rsid w:val="0022380A"/>
    <w:rsid w:val="00223F98"/>
    <w:rsid w:val="002244CF"/>
    <w:rsid w:val="002244F1"/>
    <w:rsid w:val="00224935"/>
    <w:rsid w:val="00224C9B"/>
    <w:rsid w:val="00224F8C"/>
    <w:rsid w:val="0022538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E0C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883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0EFF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68E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1F2"/>
    <w:rsid w:val="003246E3"/>
    <w:rsid w:val="0032489D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B6E"/>
    <w:rsid w:val="00343EEF"/>
    <w:rsid w:val="003446F7"/>
    <w:rsid w:val="0034479B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BF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13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121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6F8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84E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415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4225"/>
    <w:rsid w:val="00404B80"/>
    <w:rsid w:val="004055CC"/>
    <w:rsid w:val="00405C3C"/>
    <w:rsid w:val="00406555"/>
    <w:rsid w:val="00406C30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B96"/>
    <w:rsid w:val="00421F1E"/>
    <w:rsid w:val="00423041"/>
    <w:rsid w:val="00423120"/>
    <w:rsid w:val="00423252"/>
    <w:rsid w:val="00423594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FA6"/>
    <w:rsid w:val="00483301"/>
    <w:rsid w:val="004836A5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66B8"/>
    <w:rsid w:val="004C78A1"/>
    <w:rsid w:val="004C7944"/>
    <w:rsid w:val="004C7CFF"/>
    <w:rsid w:val="004C7FBA"/>
    <w:rsid w:val="004D007B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0EFC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25E1"/>
    <w:rsid w:val="00503981"/>
    <w:rsid w:val="005046DE"/>
    <w:rsid w:val="00504ADD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5ECC"/>
    <w:rsid w:val="0053695D"/>
    <w:rsid w:val="00537BB4"/>
    <w:rsid w:val="00540414"/>
    <w:rsid w:val="00541411"/>
    <w:rsid w:val="00542874"/>
    <w:rsid w:val="00542A44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9FC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598"/>
    <w:rsid w:val="005868A9"/>
    <w:rsid w:val="00587EA0"/>
    <w:rsid w:val="00590126"/>
    <w:rsid w:val="00590A02"/>
    <w:rsid w:val="00590A95"/>
    <w:rsid w:val="00590D8C"/>
    <w:rsid w:val="00591352"/>
    <w:rsid w:val="00591781"/>
    <w:rsid w:val="00591BB2"/>
    <w:rsid w:val="00591DA9"/>
    <w:rsid w:val="00592332"/>
    <w:rsid w:val="0059247A"/>
    <w:rsid w:val="00592D47"/>
    <w:rsid w:val="005936DF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5FB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CE7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B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B97"/>
    <w:rsid w:val="00646C5A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4F77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712B"/>
    <w:rsid w:val="00717199"/>
    <w:rsid w:val="0072035C"/>
    <w:rsid w:val="007207E0"/>
    <w:rsid w:val="007212E9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410B"/>
    <w:rsid w:val="007750A0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3B1B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1FF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0D4B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22A5"/>
    <w:rsid w:val="008225A0"/>
    <w:rsid w:val="0082273F"/>
    <w:rsid w:val="0082292C"/>
    <w:rsid w:val="008235D1"/>
    <w:rsid w:val="00824923"/>
    <w:rsid w:val="00824D61"/>
    <w:rsid w:val="00825B50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424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228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0F24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36A5"/>
    <w:rsid w:val="008D3C98"/>
    <w:rsid w:val="008D41C8"/>
    <w:rsid w:val="008D424A"/>
    <w:rsid w:val="008D536A"/>
    <w:rsid w:val="008D5971"/>
    <w:rsid w:val="008D6BD2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230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4F44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599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01D5"/>
    <w:rsid w:val="0092120D"/>
    <w:rsid w:val="009219B2"/>
    <w:rsid w:val="00922A7E"/>
    <w:rsid w:val="00922C4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77B2B"/>
    <w:rsid w:val="009810AC"/>
    <w:rsid w:val="0098147C"/>
    <w:rsid w:val="00981732"/>
    <w:rsid w:val="00981A01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A51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98F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5B68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5F59"/>
    <w:rsid w:val="00A56918"/>
    <w:rsid w:val="00A56A79"/>
    <w:rsid w:val="00A60E2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7479"/>
    <w:rsid w:val="00AF78B0"/>
    <w:rsid w:val="00B00393"/>
    <w:rsid w:val="00B003FC"/>
    <w:rsid w:val="00B00E0B"/>
    <w:rsid w:val="00B00F35"/>
    <w:rsid w:val="00B0122D"/>
    <w:rsid w:val="00B01349"/>
    <w:rsid w:val="00B01978"/>
    <w:rsid w:val="00B0255C"/>
    <w:rsid w:val="00B027A6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D84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159"/>
    <w:rsid w:val="00B34955"/>
    <w:rsid w:val="00B35D36"/>
    <w:rsid w:val="00B35DEF"/>
    <w:rsid w:val="00B3683B"/>
    <w:rsid w:val="00B368D2"/>
    <w:rsid w:val="00B36CD3"/>
    <w:rsid w:val="00B37C6C"/>
    <w:rsid w:val="00B40270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1BF"/>
    <w:rsid w:val="00B466F8"/>
    <w:rsid w:val="00B46ED9"/>
    <w:rsid w:val="00B47D44"/>
    <w:rsid w:val="00B47E1D"/>
    <w:rsid w:val="00B50C78"/>
    <w:rsid w:val="00B50F76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534B"/>
    <w:rsid w:val="00B56D95"/>
    <w:rsid w:val="00B56E1B"/>
    <w:rsid w:val="00B56E24"/>
    <w:rsid w:val="00B60743"/>
    <w:rsid w:val="00B60776"/>
    <w:rsid w:val="00B6093B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2259"/>
    <w:rsid w:val="00B73ABB"/>
    <w:rsid w:val="00B73B42"/>
    <w:rsid w:val="00B743E0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3269"/>
    <w:rsid w:val="00B832A3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3E0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714"/>
    <w:rsid w:val="00BD1F01"/>
    <w:rsid w:val="00BD1F48"/>
    <w:rsid w:val="00BD2CFA"/>
    <w:rsid w:val="00BD387E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B5C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6D5"/>
    <w:rsid w:val="00C2791F"/>
    <w:rsid w:val="00C27FF6"/>
    <w:rsid w:val="00C3007E"/>
    <w:rsid w:val="00C312AD"/>
    <w:rsid w:val="00C31C09"/>
    <w:rsid w:val="00C32571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041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7C7"/>
    <w:rsid w:val="00CA49A5"/>
    <w:rsid w:val="00CA4B1B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D93"/>
    <w:rsid w:val="00CD6E73"/>
    <w:rsid w:val="00CD76C4"/>
    <w:rsid w:val="00CD7788"/>
    <w:rsid w:val="00CE1960"/>
    <w:rsid w:val="00CE1EB0"/>
    <w:rsid w:val="00CE3032"/>
    <w:rsid w:val="00CE4F82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983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6CEA"/>
    <w:rsid w:val="00D173E4"/>
    <w:rsid w:val="00D175D3"/>
    <w:rsid w:val="00D17F7D"/>
    <w:rsid w:val="00D2128C"/>
    <w:rsid w:val="00D2167F"/>
    <w:rsid w:val="00D21B2D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3802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5CAA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1444"/>
    <w:rsid w:val="00DA1718"/>
    <w:rsid w:val="00DA1733"/>
    <w:rsid w:val="00DA1AEB"/>
    <w:rsid w:val="00DA2820"/>
    <w:rsid w:val="00DA2DFA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CAB"/>
    <w:rsid w:val="00DD4FF3"/>
    <w:rsid w:val="00DD53B1"/>
    <w:rsid w:val="00DD59FC"/>
    <w:rsid w:val="00DD7574"/>
    <w:rsid w:val="00DD79A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54D"/>
    <w:rsid w:val="00E12A30"/>
    <w:rsid w:val="00E1341E"/>
    <w:rsid w:val="00E13C32"/>
    <w:rsid w:val="00E13F8C"/>
    <w:rsid w:val="00E14AA3"/>
    <w:rsid w:val="00E14D69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972"/>
    <w:rsid w:val="00E30CA7"/>
    <w:rsid w:val="00E31911"/>
    <w:rsid w:val="00E319D2"/>
    <w:rsid w:val="00E319E8"/>
    <w:rsid w:val="00E32269"/>
    <w:rsid w:val="00E328E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9A"/>
    <w:rsid w:val="00EA4EB1"/>
    <w:rsid w:val="00EA576E"/>
    <w:rsid w:val="00EA5841"/>
    <w:rsid w:val="00EA6CF7"/>
    <w:rsid w:val="00EA6F2B"/>
    <w:rsid w:val="00EB0479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C10"/>
    <w:rsid w:val="00EF3E95"/>
    <w:rsid w:val="00EF405E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423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4D76-1E8C-4FB1-ACB4-0CE80792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2468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89</cp:revision>
  <cp:lastPrinted>2015-01-29T12:01:00Z</cp:lastPrinted>
  <dcterms:created xsi:type="dcterms:W3CDTF">2015-03-12T13:05:00Z</dcterms:created>
  <dcterms:modified xsi:type="dcterms:W3CDTF">2015-03-19T12:16:00Z</dcterms:modified>
</cp:coreProperties>
</file>