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560222">
        <w:trPr>
          <w:trHeight w:val="35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BB16B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55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56022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560222">
        <w:trPr>
          <w:trHeight w:val="1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56022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AE551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B16BF">
              <w:rPr>
                <w:rFonts w:ascii="Times New Roman" w:hAnsi="Times New Roman" w:cs="Times New Roman"/>
                <w:b/>
                <w:sz w:val="24"/>
                <w:szCs w:val="24"/>
              </w:rPr>
              <w:t>/01/2017</w:t>
            </w:r>
          </w:p>
        </w:tc>
      </w:tr>
      <w:tr w:rsidR="00E92ED3" w:rsidRPr="00E21781" w:rsidTr="00560222">
        <w:trPr>
          <w:trHeight w:val="297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5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56022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825B20"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560222">
        <w:trPr>
          <w:trHeight w:val="3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560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6AC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andar – Porto Alegre/RS.</w:t>
            </w:r>
          </w:p>
        </w:tc>
      </w:tr>
      <w:tr w:rsidR="00E92ED3" w:rsidRPr="00E21781" w:rsidTr="00560222"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560222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proofErr w:type="gramStart"/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Coordenador Adjunto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 Antônio Machado Veríssimo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 Conselheiro Titular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José Arthur Fell, a Conselheira Suplente Maria Tereza </w:t>
            </w:r>
            <w:proofErr w:type="spellStart"/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Fortini</w:t>
            </w:r>
            <w:proofErr w:type="spellEnd"/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Albano e a Gerente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</w:t>
            </w:r>
            <w:proofErr w:type="spellEnd"/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Izabel Girardello.</w:t>
            </w:r>
          </w:p>
        </w:tc>
      </w:tr>
      <w:tr w:rsidR="00E92ED3" w:rsidRPr="00E21781" w:rsidTr="00560222">
        <w:trPr>
          <w:trHeight w:val="27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560222">
        <w:trPr>
          <w:trHeight w:val="29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694F54" w:rsidP="005602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súmula foi </w:t>
            </w:r>
            <w:r w:rsidR="004112CD">
              <w:rPr>
                <w:rFonts w:ascii="Times New Roman" w:hAnsi="Times New Roman" w:cs="Times New Roman"/>
                <w:sz w:val="24"/>
                <w:szCs w:val="24"/>
              </w:rPr>
              <w:t xml:space="preserve">lida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aprovada. </w:t>
            </w:r>
            <w:r w:rsidR="00F04314">
              <w:rPr>
                <w:rFonts w:ascii="Times New Roman" w:hAnsi="Times New Roman" w:cs="Times New Roman"/>
                <w:sz w:val="24"/>
                <w:szCs w:val="24"/>
              </w:rPr>
              <w:t xml:space="preserve">O Cons. Veríssimo solicitou que seja enviada por e-mail para a Cons. Célia e para o Cons. Rinaldo. </w:t>
            </w:r>
          </w:p>
        </w:tc>
      </w:tr>
      <w:tr w:rsidR="00A42FDC" w:rsidRPr="00E21781" w:rsidTr="00560222">
        <w:trPr>
          <w:trHeight w:val="47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AE5517" w:rsidP="00AE5517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Informes referentes ao Conselho Diretor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11340" w:rsidRPr="00825B20" w:rsidRDefault="00BF595D" w:rsidP="00F55B8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Cons. Veríssimo apresentou</w:t>
            </w:r>
            <w:r w:rsidR="00174C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relato da última reunião. Com rela</w:t>
            </w:r>
            <w:r w:rsidR="006E1D90">
              <w:rPr>
                <w:rFonts w:ascii="Times New Roman" w:hAnsi="Times New Roman"/>
                <w:color w:val="000000"/>
                <w:sz w:val="24"/>
                <w:szCs w:val="24"/>
              </w:rPr>
              <w:t>ç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ão à representação do CAU</w:t>
            </w:r>
            <w:r w:rsidR="00A5418E">
              <w:rPr>
                <w:rFonts w:ascii="Times New Roman" w:hAnsi="Times New Roman"/>
                <w:color w:val="000000"/>
                <w:sz w:val="24"/>
                <w:szCs w:val="24"/>
              </w:rPr>
              <w:t>/RS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cerimônias de colação de grau, o Cons. José Arthur sugeriu que os relatórios dos conselheiros que forem representar sejam encaminhados para a CEF. </w:t>
            </w:r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Cons. Veríssimo sugere que seja feito contato com o coordenador do curso previamente, informando quem será o representante. A Gerente </w:t>
            </w:r>
            <w:proofErr w:type="spellStart"/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>Maríndia</w:t>
            </w:r>
            <w:proofErr w:type="spellEnd"/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questiona se não poderia ser </w:t>
            </w:r>
            <w:proofErr w:type="gramStart"/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>pleiteado</w:t>
            </w:r>
            <w:r w:rsidR="00A54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junto às IES</w:t>
            </w:r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uma abertura</w:t>
            </w:r>
            <w:proofErr w:type="gramEnd"/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durante a cerimônia pa</w:t>
            </w:r>
            <w:r w:rsidR="00174C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 uma pequena manifestação do </w:t>
            </w:r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>representante</w:t>
            </w:r>
            <w:r w:rsidR="00A54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CAU</w:t>
            </w:r>
            <w:r w:rsidR="003303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Decidido incluir na pauta da próxima reunião as sugestões da CEF com relação às colações de grau. </w:t>
            </w:r>
            <w:r w:rsidR="00007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Verificar o andamento do processo de aquisição dos </w:t>
            </w:r>
            <w:r w:rsidR="00007BBD" w:rsidRPr="00174C1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pen</w:t>
            </w:r>
            <w:r w:rsidR="00174C10" w:rsidRPr="00174C1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007BBD" w:rsidRPr="00174C1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drives</w:t>
            </w:r>
            <w:r w:rsidR="00007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serão entregues aos formandos.</w:t>
            </w:r>
            <w:r w:rsidR="00955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44C1A">
              <w:rPr>
                <w:rFonts w:ascii="Times New Roman" w:hAnsi="Times New Roman"/>
                <w:color w:val="000000"/>
                <w:sz w:val="24"/>
                <w:szCs w:val="24"/>
              </w:rPr>
              <w:t>Com relação aos encontros</w:t>
            </w:r>
            <w:r w:rsidR="00174C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CAU/RS</w:t>
            </w:r>
            <w:r w:rsidR="00A44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o Cons. Veríssimo informou que haverá um patrocínio às entidades para que realizem suas </w:t>
            </w:r>
            <w:r w:rsidR="00083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atividades durante os encontros, em valor de 11.500,00 por evento. </w:t>
            </w:r>
            <w:r w:rsidR="006E1D90">
              <w:rPr>
                <w:rFonts w:ascii="Times New Roman" w:hAnsi="Times New Roman"/>
                <w:color w:val="000000"/>
                <w:sz w:val="24"/>
                <w:szCs w:val="24"/>
              </w:rPr>
              <w:t>A estrutura</w:t>
            </w:r>
            <w:r w:rsidR="000618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evento será </w:t>
            </w:r>
            <w:r w:rsidR="00F55B82">
              <w:rPr>
                <w:rFonts w:ascii="Times New Roman" w:hAnsi="Times New Roman"/>
                <w:color w:val="000000"/>
                <w:sz w:val="24"/>
                <w:szCs w:val="24"/>
              </w:rPr>
              <w:t>previamente definida, haverá uma palestra magna, oficinas e outras atividades.</w:t>
            </w:r>
            <w:r w:rsidR="00083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982A79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3303BB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Pautar na próxima reunião:</w:t>
            </w:r>
            <w:r>
              <w:t xml:space="preserve"> </w:t>
            </w:r>
            <w:r w:rsidRPr="003303BB">
              <w:rPr>
                <w:rFonts w:ascii="Times New Roman" w:hAnsi="Times New Roman" w:cs="Times New Roman"/>
                <w:bCs/>
                <w:sz w:val="24"/>
                <w:szCs w:val="24"/>
              </w:rPr>
              <w:t>sugestões da CEF com relação às colações de grau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2CD" w:rsidRPr="00654F30" w:rsidRDefault="00E02CB9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Assistente Bianca</w:t>
            </w:r>
          </w:p>
        </w:tc>
      </w:tr>
      <w:tr w:rsidR="00007BBD" w:rsidRPr="00E21781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BBD" w:rsidRDefault="00007BBD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Cons. Veríssimo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BBD" w:rsidRDefault="00007BBD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Verificar andamento do processo de aquisição de </w:t>
            </w:r>
            <w:r w:rsidRPr="00174C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pen</w:t>
            </w:r>
            <w:r w:rsidR="00174C10" w:rsidRPr="00174C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174C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drives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BBD" w:rsidRDefault="00007B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Gerente</w:t>
            </w:r>
            <w:r w:rsidR="00174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74C10"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proofErr w:type="spellEnd"/>
          </w:p>
        </w:tc>
      </w:tr>
      <w:tr w:rsidR="00417B18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AE5517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Registros de Diplomados no Exterior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60222">
        <w:trPr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256FC5" w:rsidRDefault="00D46548" w:rsidP="00A5418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Processo Miguel</w:t>
            </w:r>
            <w:r w:rsidR="00174C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deferido, porém deve ser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melhor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redigido o encaminhamento final</w:t>
            </w:r>
            <w:r w:rsidR="00A54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pois a CEF-CAU/RS não deve deferir o registro e sim sugerir o deferimento à CEF-CAU/BR, conforme Resolução nº 26/2012. </w:t>
            </w:r>
          </w:p>
        </w:tc>
      </w:tr>
      <w:tr w:rsidR="005057EF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982A79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A5418E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Alterar o encaminhamento final da deliberação, mantendo o posicionamento pelo deferimento. 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A5418E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Gerente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proofErr w:type="spellEnd"/>
          </w:p>
        </w:tc>
      </w:tr>
      <w:tr w:rsidR="00F8161C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AE5517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Registros Profissionais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C5077" w:rsidRPr="00281C9D" w:rsidRDefault="00D54CB0" w:rsidP="00E02CB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Serão trazidos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mensalmente,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2CB9">
              <w:rPr>
                <w:rFonts w:ascii="Times New Roman" w:hAnsi="Times New Roman"/>
                <w:color w:val="000000"/>
                <w:sz w:val="24"/>
                <w:szCs w:val="24"/>
              </w:rPr>
              <w:t>de modo que possam ser levados também com essa periodicidade à Sessão Plenária.</w:t>
            </w:r>
          </w:p>
        </w:tc>
      </w:tr>
      <w:tr w:rsidR="00F8161C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D6358A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E02CB9" w:rsidP="00E02CB9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Pautar a deliberação de registros profissionais mensalmente.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E02CB9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Assistente Bianca</w:t>
            </w:r>
          </w:p>
        </w:tc>
      </w:tr>
      <w:tr w:rsidR="00900ABD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00ABD" w:rsidRPr="0063588D" w:rsidRDefault="00AE5517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Memorando CEF-CAU/RS nº 002/2017 – Resposta ao Ofício Circular do CAU/BR nº 037/2016 – PR</w:t>
            </w:r>
            <w:r w:rsidR="00D95EFE"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F06D1" w:rsidRPr="00281C9D" w:rsidRDefault="00E02CB9" w:rsidP="00E02CB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ofício circular foi encaminhado à CEF pelo Presidente do CAU/RS, para posterior envio de ofício ao Presidente do CAU/BR. A assessoria da Comissão apresentou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6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536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minuta de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memorando</w:t>
            </w:r>
            <w:r w:rsidR="00536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resposta que, com algumas complementações, foi aprovado. </w:t>
            </w:r>
          </w:p>
        </w:tc>
      </w:tr>
      <w:tr w:rsidR="00900ABD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654F30" w:rsidRDefault="00900ABD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00ABD" w:rsidRPr="003556D5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E02CB9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Presidente do CAU/RS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E02CB9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o memorando ao presidente.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E02CB9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Gerente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proofErr w:type="spellEnd"/>
          </w:p>
        </w:tc>
      </w:tr>
      <w:tr w:rsidR="00D95EFE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95EFE" w:rsidRPr="0063588D" w:rsidRDefault="00AE5517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Análise do Plano de Ação de 2017</w:t>
            </w:r>
            <w:r w:rsidR="00BB16BF"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D95EFE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7655E" w:rsidRPr="00281C9D" w:rsidRDefault="006329A0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Repautar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a próxima reunião.</w:t>
            </w:r>
          </w:p>
        </w:tc>
      </w:tr>
      <w:tr w:rsidR="00D95EFE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5EFE" w:rsidRPr="00654F30" w:rsidRDefault="00D95EFE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D95EFE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D95EFE" w:rsidRPr="00BE34FF" w:rsidRDefault="00D95EFE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D95EFE" w:rsidRPr="003556D5" w:rsidRDefault="00D95EFE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D95EFE" w:rsidRPr="00BE34FF" w:rsidRDefault="00D95EFE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95EFE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6010F1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930743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930743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Assistente Bianca</w:t>
            </w:r>
          </w:p>
        </w:tc>
      </w:tr>
      <w:tr w:rsidR="00BB16BF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B16BF" w:rsidRPr="0063588D" w:rsidRDefault="00771BCB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B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Atribuição para Projeto de micro geração de energia fotovoltaica</w:t>
            </w:r>
            <w:r w:rsidR="00BB16BF"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BB16BF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29A0" w:rsidRPr="00AE5517" w:rsidRDefault="00C750B8" w:rsidP="00FD76A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 conselheiros definiram por consultar o CAU/BR sendo que, em princípio, os arquitetos e urbanistas não recebem conhecimentos técnicos em geração de energia fotovoltaica durante o curso de graduaç</w:t>
            </w:r>
            <w:r w:rsidR="00316506">
              <w:rPr>
                <w:rFonts w:ascii="Times New Roman" w:hAnsi="Times New Roman"/>
                <w:color w:val="000000"/>
                <w:sz w:val="24"/>
                <w:szCs w:val="24"/>
              </w:rPr>
              <w:t>ão. Verificar curso promovido pelo CAU/</w:t>
            </w:r>
            <w:r w:rsidR="00930743">
              <w:rPr>
                <w:rFonts w:ascii="Times New Roman" w:hAnsi="Times New Roman"/>
                <w:color w:val="000000"/>
                <w:sz w:val="24"/>
                <w:szCs w:val="24"/>
              </w:rPr>
              <w:t>RJ</w:t>
            </w:r>
            <w:r w:rsidR="003165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B16BF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B16BF" w:rsidRPr="00654F30" w:rsidRDefault="00BB16BF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BB16BF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BB16BF" w:rsidRPr="003556D5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60222" w:rsidRPr="00654F30" w:rsidTr="00AE5517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560222" w:rsidRPr="00654F30" w:rsidRDefault="00560222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222" w:rsidRPr="00654F30" w:rsidRDefault="00930743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consulta à CEF-CAU/BR sobre essa atribuição.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222" w:rsidRPr="00654F30" w:rsidRDefault="00930743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Gerente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proofErr w:type="spellEnd"/>
          </w:p>
        </w:tc>
      </w:tr>
      <w:tr w:rsidR="00771BCB" w:rsidRPr="0063588D" w:rsidTr="00E821D6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71BCB" w:rsidRPr="0063588D" w:rsidRDefault="00771BCB" w:rsidP="00771BC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771BCB" w:rsidRPr="00AE5517" w:rsidTr="00E821D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71BCB" w:rsidRDefault="00CB2B76" w:rsidP="00E821D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8.1. Pauta para a próxima reunião:</w:t>
            </w:r>
          </w:p>
          <w:p w:rsidR="003303BB" w:rsidRDefault="003303BB" w:rsidP="003303B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3303BB">
              <w:rPr>
                <w:rFonts w:ascii="Times New Roman" w:hAnsi="Times New Roman"/>
                <w:color w:val="000000"/>
                <w:sz w:val="24"/>
                <w:szCs w:val="24"/>
              </w:rPr>
              <w:t>ugestões da CEF com relação às colações de grau</w:t>
            </w:r>
            <w:r w:rsidR="00465A1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07672" w:rsidRDefault="00007672" w:rsidP="003303B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Registros de diplomados no exterior – já aprovados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mas pendentes dos termos finais de encaminhamento ao Plenário e à CEF do CAU/BR.</w:t>
            </w:r>
          </w:p>
          <w:p w:rsidR="006329A0" w:rsidRDefault="00666B89" w:rsidP="003303B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Calendário de reuniões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</w:t>
            </w:r>
          </w:p>
          <w:p w:rsidR="00666B89" w:rsidRDefault="00666B89" w:rsidP="003303B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Contato com a UFRGS sobre os processos de revalidação de diplomas estrangeiros.</w:t>
            </w:r>
          </w:p>
          <w:p w:rsidR="00AF1CF3" w:rsidRDefault="00AF1CF3" w:rsidP="003303B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CP-CAU-Participação da CEF no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ncontros do CAU/RS.</w:t>
            </w:r>
          </w:p>
          <w:p w:rsidR="00465A10" w:rsidRPr="00AE5517" w:rsidRDefault="00465A10" w:rsidP="00FD76A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8.2. O presidente Joaquim Haas apresentou o assunto da dificuldade que alguns arquitetos e urbanistas tem para pagar a anuidade 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>do CAU,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porém não é viável para o C</w:t>
            </w:r>
            <w:r w:rsidR="00FD7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onselho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reduzir a arrecadação, porque há necessidade de suportar alguns CAU/UF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tem menor arrecadação. 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importante que os profissionais que não estão trabalhando solicitem interrupção de seu registro, para que não fiquem devendo anuidade, quando não estão atuando na profissão. </w:t>
            </w:r>
            <w:r w:rsidR="00DD2C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Tratou também da importância de que os arquitetos cobrem o valor da Tabela de Honorários, para valorizar seu trabalho. </w:t>
            </w:r>
            <w:r w:rsidR="00FE6198">
              <w:rPr>
                <w:rFonts w:ascii="Times New Roman" w:hAnsi="Times New Roman"/>
                <w:color w:val="000000"/>
                <w:sz w:val="24"/>
                <w:szCs w:val="24"/>
              </w:rPr>
              <w:t>Outro ponto é a importância de que os arquitetos definam previamente o escopo do seu trabalho – o que vai fazer e o que não vai, pois o cliente não tem obrigação de saber – e fazer contrato</w:t>
            </w:r>
            <w:r w:rsidR="006329A0">
              <w:rPr>
                <w:rFonts w:ascii="Times New Roman" w:hAnsi="Times New Roman"/>
                <w:color w:val="000000"/>
                <w:sz w:val="24"/>
                <w:szCs w:val="24"/>
              </w:rPr>
              <w:t>s bem claros.</w:t>
            </w:r>
          </w:p>
        </w:tc>
      </w:tr>
      <w:tr w:rsidR="00771BCB" w:rsidRPr="00654F30" w:rsidTr="00E821D6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71BCB" w:rsidRPr="00654F30" w:rsidRDefault="00771BCB" w:rsidP="00E821D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771BCB" w:rsidRPr="00BE34FF" w:rsidTr="00E821D6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771BCB" w:rsidRPr="00BE34FF" w:rsidRDefault="00771BCB" w:rsidP="00E821D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771BCB" w:rsidRPr="003556D5" w:rsidRDefault="00771BCB" w:rsidP="00E821D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771BCB" w:rsidRPr="00BE34FF" w:rsidRDefault="00771BCB" w:rsidP="00E821D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771BCB" w:rsidRPr="00654F30" w:rsidTr="00E821D6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771BCB" w:rsidRPr="00654F30" w:rsidRDefault="00771BCB" w:rsidP="00E821D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CB" w:rsidRPr="00654F30" w:rsidRDefault="00FD76A1" w:rsidP="00E821D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Incluir na pauta da próxima reunião os assuntos definidos.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CB" w:rsidRPr="00654F30" w:rsidRDefault="00FD76A1" w:rsidP="00E821D6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Assistente Bianca</w:t>
            </w:r>
            <w:bookmarkStart w:id="0" w:name="_GoBack"/>
            <w:bookmarkEnd w:id="0"/>
          </w:p>
        </w:tc>
      </w:tr>
      <w:tr w:rsidR="00771BCB" w:rsidRPr="00654F30" w:rsidTr="00E821D6">
        <w:trPr>
          <w:trHeight w:val="454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771BCB" w:rsidRPr="00654F30" w:rsidRDefault="00771BCB" w:rsidP="00E821D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771BCB" w:rsidRPr="00654F30" w:rsidRDefault="00771BCB" w:rsidP="00E821D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771BCB" w:rsidRPr="00654F30" w:rsidRDefault="00771BCB" w:rsidP="00E821D6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771BCB" w:rsidRPr="00654F30" w:rsidTr="00E821D6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CB" w:rsidRPr="00654F30" w:rsidTr="00E821D6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CB" w:rsidRPr="00654F30" w:rsidTr="00E821D6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Maria Tereza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Fortini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Albano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Suplente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771BCB" w:rsidRPr="00654F30" w:rsidRDefault="00771BCB" w:rsidP="00E8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BB16BF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90" w:rsidRDefault="00366990" w:rsidP="00E92ED3">
      <w:pPr>
        <w:spacing w:after="0" w:line="240" w:lineRule="auto"/>
      </w:pPr>
      <w:r>
        <w:separator/>
      </w:r>
    </w:p>
  </w:endnote>
  <w:end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FD76A1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90" w:rsidRDefault="00366990" w:rsidP="00E92ED3">
      <w:pPr>
        <w:spacing w:after="0" w:line="240" w:lineRule="auto"/>
      </w:pPr>
      <w:r>
        <w:separator/>
      </w:r>
    </w:p>
  </w:footnote>
  <w:foot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0F7663"/>
    <w:multiLevelType w:val="hybridMultilevel"/>
    <w:tmpl w:val="E5267D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4"/>
  </w:num>
  <w:num w:numId="5">
    <w:abstractNumId w:val="14"/>
  </w:num>
  <w:num w:numId="6">
    <w:abstractNumId w:val="1"/>
  </w:num>
  <w:num w:numId="7">
    <w:abstractNumId w:val="2"/>
  </w:num>
  <w:num w:numId="8">
    <w:abstractNumId w:val="7"/>
  </w:num>
  <w:num w:numId="9">
    <w:abstractNumId w:val="23"/>
  </w:num>
  <w:num w:numId="10">
    <w:abstractNumId w:val="12"/>
  </w:num>
  <w:num w:numId="11">
    <w:abstractNumId w:val="18"/>
  </w:num>
  <w:num w:numId="12">
    <w:abstractNumId w:val="21"/>
  </w:num>
  <w:num w:numId="13">
    <w:abstractNumId w:val="6"/>
  </w:num>
  <w:num w:numId="14">
    <w:abstractNumId w:val="6"/>
  </w:num>
  <w:num w:numId="15">
    <w:abstractNumId w:val="25"/>
  </w:num>
  <w:num w:numId="16">
    <w:abstractNumId w:val="4"/>
  </w:num>
  <w:num w:numId="17">
    <w:abstractNumId w:val="27"/>
  </w:num>
  <w:num w:numId="18">
    <w:abstractNumId w:val="20"/>
  </w:num>
  <w:num w:numId="19">
    <w:abstractNumId w:val="3"/>
  </w:num>
  <w:num w:numId="20">
    <w:abstractNumId w:val="11"/>
  </w:num>
  <w:num w:numId="21">
    <w:abstractNumId w:val="13"/>
  </w:num>
  <w:num w:numId="22">
    <w:abstractNumId w:val="5"/>
  </w:num>
  <w:num w:numId="23">
    <w:abstractNumId w:val="19"/>
  </w:num>
  <w:num w:numId="24">
    <w:abstractNumId w:val="8"/>
  </w:num>
  <w:num w:numId="25">
    <w:abstractNumId w:val="15"/>
  </w:num>
  <w:num w:numId="26">
    <w:abstractNumId w:val="17"/>
  </w:num>
  <w:num w:numId="27">
    <w:abstractNumId w:val="26"/>
  </w:num>
  <w:num w:numId="28">
    <w:abstractNumId w:val="22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CEB"/>
    <w:rsid w:val="00003210"/>
    <w:rsid w:val="00006E1F"/>
    <w:rsid w:val="0000701A"/>
    <w:rsid w:val="00007672"/>
    <w:rsid w:val="00007BBD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407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822"/>
    <w:rsid w:val="00061EF6"/>
    <w:rsid w:val="00063738"/>
    <w:rsid w:val="0006511A"/>
    <w:rsid w:val="00066B4B"/>
    <w:rsid w:val="000675EF"/>
    <w:rsid w:val="00067E7D"/>
    <w:rsid w:val="00071D20"/>
    <w:rsid w:val="0007298C"/>
    <w:rsid w:val="000730BD"/>
    <w:rsid w:val="000737E6"/>
    <w:rsid w:val="00074849"/>
    <w:rsid w:val="00075122"/>
    <w:rsid w:val="00081BC8"/>
    <w:rsid w:val="00082E8F"/>
    <w:rsid w:val="0008319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064"/>
    <w:rsid w:val="000C4446"/>
    <w:rsid w:val="000C5BF5"/>
    <w:rsid w:val="000C7A70"/>
    <w:rsid w:val="000D200A"/>
    <w:rsid w:val="000D751D"/>
    <w:rsid w:val="000D784A"/>
    <w:rsid w:val="000E04A6"/>
    <w:rsid w:val="000E05E4"/>
    <w:rsid w:val="000E3056"/>
    <w:rsid w:val="000E30C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39"/>
    <w:rsid w:val="00106897"/>
    <w:rsid w:val="0010745D"/>
    <w:rsid w:val="00110F2F"/>
    <w:rsid w:val="00111051"/>
    <w:rsid w:val="001127AF"/>
    <w:rsid w:val="001133CC"/>
    <w:rsid w:val="001136DA"/>
    <w:rsid w:val="001138BC"/>
    <w:rsid w:val="00113A7E"/>
    <w:rsid w:val="001150E6"/>
    <w:rsid w:val="00115ABA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4C10"/>
    <w:rsid w:val="00175815"/>
    <w:rsid w:val="00175979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3E5E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2DB5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09E7"/>
    <w:rsid w:val="002323A3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6FC5"/>
    <w:rsid w:val="00257471"/>
    <w:rsid w:val="00257872"/>
    <w:rsid w:val="002607E8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5BB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B6E40"/>
    <w:rsid w:val="002C1810"/>
    <w:rsid w:val="002C1C25"/>
    <w:rsid w:val="002C1C8C"/>
    <w:rsid w:val="002C36D8"/>
    <w:rsid w:val="002C42E4"/>
    <w:rsid w:val="002C48BD"/>
    <w:rsid w:val="002C4C6A"/>
    <w:rsid w:val="002C5077"/>
    <w:rsid w:val="002C5F56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506"/>
    <w:rsid w:val="003168B9"/>
    <w:rsid w:val="00317C2C"/>
    <w:rsid w:val="00317EA1"/>
    <w:rsid w:val="003216A0"/>
    <w:rsid w:val="0032294E"/>
    <w:rsid w:val="003258D0"/>
    <w:rsid w:val="00327787"/>
    <w:rsid w:val="0033031D"/>
    <w:rsid w:val="003303BB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182F"/>
    <w:rsid w:val="00363C67"/>
    <w:rsid w:val="00365D44"/>
    <w:rsid w:val="00366990"/>
    <w:rsid w:val="00371E3B"/>
    <w:rsid w:val="00373518"/>
    <w:rsid w:val="00374DCD"/>
    <w:rsid w:val="003751DC"/>
    <w:rsid w:val="0037655E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016C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0F7F"/>
    <w:rsid w:val="00402AE8"/>
    <w:rsid w:val="00404B80"/>
    <w:rsid w:val="00405A30"/>
    <w:rsid w:val="0040683A"/>
    <w:rsid w:val="00406A7C"/>
    <w:rsid w:val="00407376"/>
    <w:rsid w:val="00407C5A"/>
    <w:rsid w:val="004111FB"/>
    <w:rsid w:val="004112CD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0F5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5A1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2DF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6C33"/>
    <w:rsid w:val="00537CE2"/>
    <w:rsid w:val="00540A2E"/>
    <w:rsid w:val="0054139C"/>
    <w:rsid w:val="00541D3F"/>
    <w:rsid w:val="00543447"/>
    <w:rsid w:val="005435F1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56119"/>
    <w:rsid w:val="00560222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DDD"/>
    <w:rsid w:val="0058690C"/>
    <w:rsid w:val="00590079"/>
    <w:rsid w:val="0059487D"/>
    <w:rsid w:val="00596BF0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10F1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409D"/>
    <w:rsid w:val="00625733"/>
    <w:rsid w:val="0062609E"/>
    <w:rsid w:val="006274C4"/>
    <w:rsid w:val="006329A0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66B89"/>
    <w:rsid w:val="00670618"/>
    <w:rsid w:val="00671875"/>
    <w:rsid w:val="00671961"/>
    <w:rsid w:val="00674353"/>
    <w:rsid w:val="00674720"/>
    <w:rsid w:val="006751DF"/>
    <w:rsid w:val="00681D32"/>
    <w:rsid w:val="0068255C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B3D3F"/>
    <w:rsid w:val="006B7A02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1D90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27F50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6668C"/>
    <w:rsid w:val="00771BCB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5B20"/>
    <w:rsid w:val="00826804"/>
    <w:rsid w:val="00827019"/>
    <w:rsid w:val="00827C6B"/>
    <w:rsid w:val="0083124F"/>
    <w:rsid w:val="008316C9"/>
    <w:rsid w:val="00831B35"/>
    <w:rsid w:val="00831BFB"/>
    <w:rsid w:val="008347C9"/>
    <w:rsid w:val="00834C65"/>
    <w:rsid w:val="00836AF8"/>
    <w:rsid w:val="008401CF"/>
    <w:rsid w:val="00841675"/>
    <w:rsid w:val="008420A3"/>
    <w:rsid w:val="0084381C"/>
    <w:rsid w:val="00843D41"/>
    <w:rsid w:val="00844BFD"/>
    <w:rsid w:val="008450D0"/>
    <w:rsid w:val="00845514"/>
    <w:rsid w:val="008469EC"/>
    <w:rsid w:val="00847667"/>
    <w:rsid w:val="00850066"/>
    <w:rsid w:val="00850419"/>
    <w:rsid w:val="0085055E"/>
    <w:rsid w:val="00852E32"/>
    <w:rsid w:val="00855C3C"/>
    <w:rsid w:val="00856083"/>
    <w:rsid w:val="008565D0"/>
    <w:rsid w:val="00860255"/>
    <w:rsid w:val="00860C34"/>
    <w:rsid w:val="00861478"/>
    <w:rsid w:val="00862792"/>
    <w:rsid w:val="00863FF8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6C18"/>
    <w:rsid w:val="008A799C"/>
    <w:rsid w:val="008B2B5B"/>
    <w:rsid w:val="008B2B6B"/>
    <w:rsid w:val="008B3C89"/>
    <w:rsid w:val="008B4DBB"/>
    <w:rsid w:val="008C15DD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173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E59EE"/>
    <w:rsid w:val="008F33E0"/>
    <w:rsid w:val="008F5478"/>
    <w:rsid w:val="008F5DB4"/>
    <w:rsid w:val="008F6D78"/>
    <w:rsid w:val="008F710D"/>
    <w:rsid w:val="0090019E"/>
    <w:rsid w:val="00900ABD"/>
    <w:rsid w:val="00901386"/>
    <w:rsid w:val="00902CFD"/>
    <w:rsid w:val="00903912"/>
    <w:rsid w:val="009041F5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743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CC6"/>
    <w:rsid w:val="00955E35"/>
    <w:rsid w:val="00956F27"/>
    <w:rsid w:val="0095775B"/>
    <w:rsid w:val="009606B8"/>
    <w:rsid w:val="00961732"/>
    <w:rsid w:val="009625CD"/>
    <w:rsid w:val="00971BBC"/>
    <w:rsid w:val="00971C5E"/>
    <w:rsid w:val="00972617"/>
    <w:rsid w:val="00973CA7"/>
    <w:rsid w:val="00974EF9"/>
    <w:rsid w:val="009810AC"/>
    <w:rsid w:val="00981732"/>
    <w:rsid w:val="00982A79"/>
    <w:rsid w:val="0098309E"/>
    <w:rsid w:val="009855EB"/>
    <w:rsid w:val="00986D9C"/>
    <w:rsid w:val="009914CF"/>
    <w:rsid w:val="00996D4B"/>
    <w:rsid w:val="009975E5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36AC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4C1A"/>
    <w:rsid w:val="00A457A7"/>
    <w:rsid w:val="00A45D47"/>
    <w:rsid w:val="00A46477"/>
    <w:rsid w:val="00A4695B"/>
    <w:rsid w:val="00A46BEF"/>
    <w:rsid w:val="00A479F0"/>
    <w:rsid w:val="00A50A69"/>
    <w:rsid w:val="00A52651"/>
    <w:rsid w:val="00A5418E"/>
    <w:rsid w:val="00A5561B"/>
    <w:rsid w:val="00A56B97"/>
    <w:rsid w:val="00A574CB"/>
    <w:rsid w:val="00A6435E"/>
    <w:rsid w:val="00A73140"/>
    <w:rsid w:val="00A751D3"/>
    <w:rsid w:val="00A75297"/>
    <w:rsid w:val="00A77FF0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6EE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7"/>
    <w:rsid w:val="00AE551B"/>
    <w:rsid w:val="00AE655C"/>
    <w:rsid w:val="00AE7478"/>
    <w:rsid w:val="00AF06D1"/>
    <w:rsid w:val="00AF1CF3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340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2938"/>
    <w:rsid w:val="00B4438C"/>
    <w:rsid w:val="00B445E1"/>
    <w:rsid w:val="00B44936"/>
    <w:rsid w:val="00B46410"/>
    <w:rsid w:val="00B476D7"/>
    <w:rsid w:val="00B5269F"/>
    <w:rsid w:val="00B53794"/>
    <w:rsid w:val="00B53BE1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13B"/>
    <w:rsid w:val="00BA7030"/>
    <w:rsid w:val="00BB0782"/>
    <w:rsid w:val="00BB0877"/>
    <w:rsid w:val="00BB13C2"/>
    <w:rsid w:val="00BB16BF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5B11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595D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5A0"/>
    <w:rsid w:val="00C65FDE"/>
    <w:rsid w:val="00C71139"/>
    <w:rsid w:val="00C71B6B"/>
    <w:rsid w:val="00C750B8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A62"/>
    <w:rsid w:val="00CA1C92"/>
    <w:rsid w:val="00CA203B"/>
    <w:rsid w:val="00CA2CBE"/>
    <w:rsid w:val="00CA4C8E"/>
    <w:rsid w:val="00CA6F4C"/>
    <w:rsid w:val="00CA7D69"/>
    <w:rsid w:val="00CB156D"/>
    <w:rsid w:val="00CB2B76"/>
    <w:rsid w:val="00CB3FB4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46548"/>
    <w:rsid w:val="00D537E0"/>
    <w:rsid w:val="00D54CB0"/>
    <w:rsid w:val="00D5524A"/>
    <w:rsid w:val="00D5554B"/>
    <w:rsid w:val="00D561EE"/>
    <w:rsid w:val="00D562F7"/>
    <w:rsid w:val="00D5660A"/>
    <w:rsid w:val="00D5782B"/>
    <w:rsid w:val="00D6077B"/>
    <w:rsid w:val="00D62E7B"/>
    <w:rsid w:val="00D6358A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5EFE"/>
    <w:rsid w:val="00D97822"/>
    <w:rsid w:val="00DA121A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2C2A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5F8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2CB9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6ABA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4314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37EC"/>
    <w:rsid w:val="00F24FE1"/>
    <w:rsid w:val="00F2582A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49"/>
    <w:rsid w:val="00F479D5"/>
    <w:rsid w:val="00F50F19"/>
    <w:rsid w:val="00F510EF"/>
    <w:rsid w:val="00F512EE"/>
    <w:rsid w:val="00F52A0E"/>
    <w:rsid w:val="00F55B82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56D"/>
    <w:rsid w:val="00FA6F8E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D76A1"/>
    <w:rsid w:val="00FE0221"/>
    <w:rsid w:val="00FE304A"/>
    <w:rsid w:val="00FE33B2"/>
    <w:rsid w:val="00FE57E4"/>
    <w:rsid w:val="00FE5FFE"/>
    <w:rsid w:val="00FE6198"/>
    <w:rsid w:val="00FE669A"/>
    <w:rsid w:val="00FF1B8C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C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C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A9AB-C357-42EE-B441-037115EC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Marindia Izabel Girardello</cp:lastModifiedBy>
  <cp:revision>53</cp:revision>
  <cp:lastPrinted>2017-01-17T13:42:00Z</cp:lastPrinted>
  <dcterms:created xsi:type="dcterms:W3CDTF">2017-01-10T14:57:00Z</dcterms:created>
  <dcterms:modified xsi:type="dcterms:W3CDTF">2017-02-06T20:03:00Z</dcterms:modified>
</cp:coreProperties>
</file>