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CF542C">
        <w:trPr>
          <w:trHeight w:val="35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C77DEB" w:rsidP="00E72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E3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E7205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CF542C">
        <w:trPr>
          <w:trHeight w:val="16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3556D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BE34F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3556D5">
              <w:rPr>
                <w:rFonts w:ascii="Times New Roman" w:hAnsi="Times New Roman" w:cs="Times New Roman"/>
                <w:b/>
                <w:sz w:val="24"/>
                <w:szCs w:val="24"/>
              </w:rPr>
              <w:t>/07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E92ED3" w:rsidRPr="00E21781" w:rsidTr="00CF542C">
        <w:trPr>
          <w:trHeight w:val="297"/>
          <w:jc w:val="center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D3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BE34FF">
              <w:rPr>
                <w:rFonts w:ascii="Times New Roman" w:hAnsi="Times New Roman" w:cs="Times New Roman"/>
                <w:sz w:val="24"/>
                <w:szCs w:val="24"/>
              </w:rPr>
              <w:t xml:space="preserve"> 10h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D3050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12h30</w:t>
            </w:r>
          </w:p>
        </w:tc>
      </w:tr>
      <w:tr w:rsidR="00B476D7" w:rsidRPr="00E21781" w:rsidTr="00CF542C">
        <w:trPr>
          <w:trHeight w:val="3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355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355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E21781" w:rsidTr="00CF542C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683C" w:rsidRPr="00654F30" w:rsidRDefault="00550631" w:rsidP="003556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Coordenador da Comissão Luiz Antônio Machado Veríssimo e os Conselheiros titulares Rinaldo Ferreira Barbosa (Coordenador Adjunto) e José Arthur Fell; a Gerente e Assessora Técnica Maríndia Girardello</w:t>
            </w:r>
            <w:r w:rsidR="00141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a Supervisora Sabrina Lopes Ourique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92ED3" w:rsidRPr="00E21781" w:rsidTr="00CF542C">
        <w:trPr>
          <w:trHeight w:val="27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DD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CF542C">
        <w:trPr>
          <w:trHeight w:val="29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3556D5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BE3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AC0E8D" w:rsidP="004C38E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súmula foi aprovada e assinada.</w:t>
            </w:r>
          </w:p>
        </w:tc>
      </w:tr>
      <w:tr w:rsidR="00A42FDC" w:rsidRPr="00E21781" w:rsidTr="00CF542C">
        <w:trPr>
          <w:trHeight w:val="68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3588D" w:rsidRDefault="0063588D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58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Aprovação da Deliberação CEF 07/2016 - Registros de 26 de junho a 24 de julho de 2016;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E6076" w:rsidRPr="00654F30" w:rsidRDefault="00AC0E8D" w:rsidP="00AC0E8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deliberação foi aprovada e deve ser encaminha</w:t>
            </w:r>
            <w:r w:rsidR="004603A9">
              <w:rPr>
                <w:rFonts w:ascii="Times New Roman" w:hAnsi="Times New Roman" w:cs="Times New Roman"/>
                <w:bCs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ao plenário para homologação.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550631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Cs/>
                <w:sz w:val="24"/>
                <w:szCs w:val="24"/>
              </w:rPr>
              <w:t>CEF/RS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AC0E8D" w:rsidP="0029487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Encaminhar a deliberação ao gabinete da presidência para pautar na próxima Reunião Plenária.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AC0E8D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Sabrina Ourique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63588D" w:rsidRDefault="0063588D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8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Formaturas (participação das gerentes Ângela e Josiane)</w:t>
            </w:r>
            <w:r w:rsidR="00536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E21781" w:rsidTr="00E7622F">
        <w:trPr>
          <w:trHeight w:val="309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588D" w:rsidRDefault="0063588D" w:rsidP="004603A9">
            <w:pPr>
              <w:shd w:val="clear" w:color="auto" w:fill="FFFFFF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5361F7">
              <w:rPr>
                <w:rFonts w:ascii="Times New Roman" w:hAnsi="Times New Roman"/>
                <w:color w:val="000000"/>
              </w:rPr>
              <w:t>3.1. Designação de representante do CAU/RS;</w:t>
            </w:r>
          </w:p>
          <w:p w:rsidR="001879A4" w:rsidRDefault="000A2200" w:rsidP="004603A9">
            <w:pPr>
              <w:shd w:val="clear" w:color="auto" w:fill="FFFFFF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 chefe de gabinete</w:t>
            </w:r>
            <w:r w:rsidR="004603A9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Josiane</w:t>
            </w:r>
            <w:r w:rsidR="004603A9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informou como é o fluxo de designação do representante do CAU nas formaturas. Explanou que as indicações são feitas com base na localização geográfica dos conselheiros</w:t>
            </w:r>
            <w:r w:rsidR="004603A9">
              <w:rPr>
                <w:rFonts w:ascii="Times New Roman" w:hAnsi="Times New Roman"/>
                <w:color w:val="000000"/>
              </w:rPr>
              <w:t xml:space="preserve"> e a disponibilidade destes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="004603A9">
              <w:rPr>
                <w:rFonts w:ascii="Times New Roman" w:hAnsi="Times New Roman"/>
                <w:color w:val="000000"/>
              </w:rPr>
              <w:t>Quanto</w:t>
            </w:r>
            <w:r>
              <w:rPr>
                <w:rFonts w:ascii="Times New Roman" w:hAnsi="Times New Roman"/>
                <w:color w:val="000000"/>
              </w:rPr>
              <w:t xml:space="preserve"> às formaturas de Porto Alegre é feito um sorteio entre os conselheiros </w:t>
            </w:r>
            <w:r w:rsidR="004603A9">
              <w:rPr>
                <w:rFonts w:ascii="Times New Roman" w:hAnsi="Times New Roman"/>
                <w:color w:val="000000"/>
              </w:rPr>
              <w:t>que têm</w:t>
            </w:r>
            <w:r>
              <w:rPr>
                <w:rFonts w:ascii="Times New Roman" w:hAnsi="Times New Roman"/>
                <w:color w:val="000000"/>
              </w:rPr>
              <w:t xml:space="preserve"> disponibilidade. </w:t>
            </w:r>
            <w:r w:rsidR="004603A9">
              <w:rPr>
                <w:rFonts w:ascii="Times New Roman" w:hAnsi="Times New Roman"/>
                <w:color w:val="000000"/>
              </w:rPr>
              <w:t>O c</w:t>
            </w:r>
            <w:r>
              <w:rPr>
                <w:rFonts w:ascii="Times New Roman" w:hAnsi="Times New Roman"/>
                <w:color w:val="000000"/>
              </w:rPr>
              <w:t xml:space="preserve">onselheiro Rinaldo questiona se esta </w:t>
            </w:r>
            <w:r w:rsidR="004603A9">
              <w:rPr>
                <w:rFonts w:ascii="Times New Roman" w:hAnsi="Times New Roman"/>
                <w:color w:val="000000"/>
              </w:rPr>
              <w:t>atividade</w:t>
            </w:r>
            <w:r>
              <w:rPr>
                <w:rFonts w:ascii="Times New Roman" w:hAnsi="Times New Roman"/>
                <w:color w:val="000000"/>
              </w:rPr>
              <w:t xml:space="preserve"> ficará no Plano de Ação da CEF, uma vez que é de gestão da presidência. Josiane entende que esta ação deveria ser realizada pela comissão, pois é mais afeta a comissão. </w:t>
            </w:r>
            <w:r w:rsidR="004603A9">
              <w:rPr>
                <w:rFonts w:ascii="Times New Roman" w:hAnsi="Times New Roman"/>
                <w:color w:val="000000"/>
              </w:rPr>
              <w:t>A g</w:t>
            </w:r>
            <w:r>
              <w:rPr>
                <w:rFonts w:ascii="Times New Roman" w:hAnsi="Times New Roman"/>
                <w:color w:val="000000"/>
              </w:rPr>
              <w:t xml:space="preserve">erente Ângela coloca que deve ser definido </w:t>
            </w:r>
            <w:r w:rsidR="004603A9">
              <w:rPr>
                <w:rFonts w:ascii="Times New Roman" w:hAnsi="Times New Roman"/>
                <w:color w:val="000000"/>
              </w:rPr>
              <w:t>se</w:t>
            </w:r>
            <w:r>
              <w:rPr>
                <w:rFonts w:ascii="Times New Roman" w:hAnsi="Times New Roman"/>
                <w:color w:val="000000"/>
              </w:rPr>
              <w:t xml:space="preserve"> é de interesse da comissão </w:t>
            </w:r>
            <w:r w:rsidR="004603A9">
              <w:rPr>
                <w:rFonts w:ascii="Times New Roman" w:hAnsi="Times New Roman"/>
                <w:color w:val="000000"/>
              </w:rPr>
              <w:t>assumir</w:t>
            </w:r>
            <w:r>
              <w:rPr>
                <w:rFonts w:ascii="Times New Roman" w:hAnsi="Times New Roman"/>
                <w:color w:val="000000"/>
              </w:rPr>
              <w:t xml:space="preserve"> este trabalho</w:t>
            </w:r>
            <w:r w:rsidR="004603A9">
              <w:rPr>
                <w:rFonts w:ascii="Times New Roman" w:hAnsi="Times New Roman"/>
                <w:color w:val="000000"/>
              </w:rPr>
              <w:t xml:space="preserve">, e, caso sim, </w:t>
            </w:r>
            <w:r w:rsidR="00B918E3">
              <w:rPr>
                <w:rFonts w:ascii="Times New Roman" w:hAnsi="Times New Roman"/>
                <w:color w:val="000000"/>
              </w:rPr>
              <w:t>que a CEF se posicione na Plenária informando que as designações de representantes do CAU</w:t>
            </w:r>
            <w:r w:rsidR="004603A9">
              <w:rPr>
                <w:rFonts w:ascii="Times New Roman" w:hAnsi="Times New Roman"/>
                <w:color w:val="000000"/>
              </w:rPr>
              <w:t>,</w:t>
            </w:r>
            <w:r w:rsidR="00B918E3">
              <w:rPr>
                <w:rFonts w:ascii="Times New Roman" w:hAnsi="Times New Roman"/>
                <w:color w:val="000000"/>
              </w:rPr>
              <w:t xml:space="preserve"> nas formaturas</w:t>
            </w:r>
            <w:r w:rsidR="004603A9">
              <w:rPr>
                <w:rFonts w:ascii="Times New Roman" w:hAnsi="Times New Roman"/>
                <w:color w:val="000000"/>
              </w:rPr>
              <w:t>, passarão</w:t>
            </w:r>
            <w:r w:rsidR="00B918E3">
              <w:rPr>
                <w:rFonts w:ascii="Times New Roman" w:hAnsi="Times New Roman"/>
                <w:color w:val="000000"/>
              </w:rPr>
              <w:t xml:space="preserve"> a ser feita</w:t>
            </w:r>
            <w:r w:rsidR="004564BA">
              <w:rPr>
                <w:rFonts w:ascii="Times New Roman" w:hAnsi="Times New Roman"/>
                <w:color w:val="000000"/>
              </w:rPr>
              <w:t>s</w:t>
            </w:r>
            <w:r w:rsidR="00B918E3">
              <w:rPr>
                <w:rFonts w:ascii="Times New Roman" w:hAnsi="Times New Roman"/>
                <w:color w:val="000000"/>
              </w:rPr>
              <w:t xml:space="preserve"> por esta comissão, e não mais pelo gabinete da presidência, a fim de alinhar a informação.</w:t>
            </w:r>
          </w:p>
          <w:p w:rsidR="00635D60" w:rsidRPr="005361F7" w:rsidRDefault="00635D60" w:rsidP="004603A9">
            <w:pPr>
              <w:shd w:val="clear" w:color="auto" w:fill="FFFFFF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Decidido: </w:t>
            </w:r>
            <w:r w:rsidR="004564BA">
              <w:rPr>
                <w:rFonts w:ascii="Times New Roman" w:hAnsi="Times New Roman"/>
                <w:color w:val="000000"/>
              </w:rPr>
              <w:t xml:space="preserve">encaminhar um memorando ao gabinete, solicitando autorização da presidência para que a </w:t>
            </w:r>
            <w:r w:rsidR="004564BA">
              <w:rPr>
                <w:rFonts w:ascii="Times New Roman" w:hAnsi="Times New Roman"/>
                <w:color w:val="000000"/>
              </w:rPr>
              <w:t>comissão de ensino e formação</w:t>
            </w:r>
            <w:r w:rsidR="004564BA">
              <w:rPr>
                <w:rFonts w:ascii="Times New Roman" w:hAnsi="Times New Roman"/>
                <w:color w:val="000000"/>
              </w:rPr>
              <w:t xml:space="preserve"> assuma a gestão d</w:t>
            </w:r>
            <w:r>
              <w:rPr>
                <w:rFonts w:ascii="Times New Roman" w:hAnsi="Times New Roman"/>
                <w:color w:val="000000"/>
              </w:rPr>
              <w:t>a designação de representantes do CAU nas formaturas.</w:t>
            </w:r>
          </w:p>
          <w:p w:rsidR="006553FC" w:rsidRDefault="0063588D" w:rsidP="008D163E">
            <w:pPr>
              <w:shd w:val="clear" w:color="auto" w:fill="FFFFFF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5361F7">
              <w:rPr>
                <w:rFonts w:ascii="Times New Roman" w:hAnsi="Times New Roman"/>
                <w:color w:val="000000"/>
              </w:rPr>
              <w:lastRenderedPageBreak/>
              <w:t>3.2. Panorama</w:t>
            </w:r>
            <w:r w:rsidR="004603A9">
              <w:rPr>
                <w:rFonts w:ascii="Times New Roman" w:hAnsi="Times New Roman"/>
                <w:color w:val="000000"/>
              </w:rPr>
              <w:t xml:space="preserve"> das formaturas realizadas e iminentes</w:t>
            </w:r>
            <w:r w:rsidRPr="005361F7">
              <w:rPr>
                <w:rFonts w:ascii="Times New Roman" w:hAnsi="Times New Roman"/>
                <w:color w:val="000000"/>
              </w:rPr>
              <w:t>;</w:t>
            </w:r>
          </w:p>
          <w:p w:rsidR="004603A9" w:rsidRPr="005361F7" w:rsidRDefault="004603A9" w:rsidP="008D163E">
            <w:pPr>
              <w:shd w:val="clear" w:color="auto" w:fill="FFFFFF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Os conselheiros </w:t>
            </w:r>
            <w:r w:rsidR="008D163E">
              <w:rPr>
                <w:rFonts w:ascii="Times New Roman" w:hAnsi="Times New Roman"/>
                <w:color w:val="000000"/>
              </w:rPr>
              <w:t>receberam a relação das formaturas já realizadas no ano de 2016, com os representantes designados e, a relação das próximas formaturas que acontecerão neste ano. Josiane atualizou a informação com as formaturas que estavam pendentes de indicação do representante.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17B18" w:rsidRPr="00654F30" w:rsidRDefault="00417B18" w:rsidP="003B709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3556D5" w:rsidRDefault="003556D5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306DC6" w:rsidP="003556D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Cs/>
                <w:sz w:val="24"/>
                <w:szCs w:val="24"/>
              </w:rPr>
              <w:t>CEF/RS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654F30" w:rsidRDefault="004564BA" w:rsidP="004564BA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</w:t>
            </w:r>
            <w:r w:rsidRPr="004564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ncaminhar um memorando ao gabinete, solicitando autorização da presidência para que a comissão de ensino e formação assuma a gestão da designação de representantes do CAU nas formaturas</w:t>
            </w:r>
            <w:r w:rsidRPr="004564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B157DE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Equipe Técnica</w:t>
            </w:r>
          </w:p>
        </w:tc>
      </w:tr>
      <w:tr w:rsidR="00687364" w:rsidRPr="00E21781" w:rsidTr="00CF542C">
        <w:trPr>
          <w:trHeight w:val="45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687364" w:rsidRPr="0063588D" w:rsidRDefault="0063588D" w:rsidP="0063588D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Aquisição dos cartões pen-drive – Processo nº 85/2016;</w:t>
            </w:r>
          </w:p>
        </w:tc>
      </w:tr>
      <w:tr w:rsidR="00687364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7364" w:rsidRDefault="00DC7902" w:rsidP="008D163E">
            <w:pPr>
              <w:pStyle w:val="PargrafodaLista"/>
              <w:shd w:val="clear" w:color="auto" w:fill="FFFFFF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Sobre a representação do CAU nas formaturas, o Conselheiro José Arthur sugere uma conversa com os formandos antes da formatura sempre que possível, a fim de fazer o conselho ter uma representação </w:t>
            </w:r>
            <w:r w:rsidR="007E6F1A">
              <w:rPr>
                <w:rFonts w:ascii="Times New Roman" w:hAnsi="Times New Roman"/>
                <w:color w:val="000000"/>
                <w:sz w:val="24"/>
                <w:szCs w:val="24"/>
              </w:rPr>
              <w:t>significativa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C7902" w:rsidRPr="007B7D87" w:rsidRDefault="00F62C42" w:rsidP="008D163E">
            <w:pPr>
              <w:pStyle w:val="PargrafodaLista"/>
              <w:shd w:val="clear" w:color="auto" w:fill="FFFFFF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chefe de gabinete Josiane informou que o processo está aguardando a aprovação da presidência, </w:t>
            </w:r>
            <w:r w:rsidR="008D163E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em virtude da </w:t>
            </w:r>
            <w:r w:rsidR="008D163E">
              <w:rPr>
                <w:rFonts w:ascii="Times New Roman" w:hAnsi="Times New Roman"/>
                <w:color w:val="000000"/>
                <w:sz w:val="24"/>
                <w:szCs w:val="24"/>
              </w:rPr>
              <w:t>mudança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presidentes está </w:t>
            </w:r>
            <w:r w:rsidR="008D163E">
              <w:rPr>
                <w:rFonts w:ascii="Times New Roman" w:hAnsi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uma demora maior</w:t>
            </w:r>
            <w:r w:rsidR="008D16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Conselheiro Rinaldo indica que o Coordenador Veríssimo deve conversar com o presidente Py, de forma</w:t>
            </w:r>
            <w:r w:rsidR="008D1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clara 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direta, para entender o motivo pelo qual este processo não foi aprovado e, o que precisa ser </w:t>
            </w:r>
            <w:r w:rsidR="008D163E">
              <w:rPr>
                <w:rFonts w:ascii="Times New Roman" w:hAnsi="Times New Roman"/>
                <w:color w:val="000000"/>
                <w:sz w:val="24"/>
                <w:szCs w:val="24"/>
              </w:rPr>
              <w:t>feito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para a sua aprovação, visto que este projeto está previsto no plano de ação da comissão.</w:t>
            </w:r>
          </w:p>
        </w:tc>
      </w:tr>
      <w:tr w:rsidR="00687364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7364" w:rsidRPr="00654F30" w:rsidRDefault="00687364" w:rsidP="00687364">
            <w:pPr>
              <w:pStyle w:val="PargrafodaLista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Providências / Encaminhamentos</w:t>
            </w:r>
          </w:p>
        </w:tc>
      </w:tr>
      <w:tr w:rsidR="00687364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7364" w:rsidRPr="00654F30" w:rsidRDefault="00687364" w:rsidP="00687364">
            <w:pPr>
              <w:pStyle w:val="PargrafodaLista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7364" w:rsidRPr="00654F30" w:rsidRDefault="00687364" w:rsidP="00687364">
            <w:pPr>
              <w:pStyle w:val="PargrafodaLista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7364" w:rsidRPr="00654F30" w:rsidRDefault="00687364" w:rsidP="00687364">
            <w:pPr>
              <w:pStyle w:val="PargrafodaLista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</w:tr>
      <w:tr w:rsidR="00687364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7364" w:rsidRPr="00654F30" w:rsidRDefault="00687364" w:rsidP="0068736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7364" w:rsidRPr="00654F30" w:rsidRDefault="00687364" w:rsidP="0068736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:rsidR="00687364" w:rsidRPr="00654F30" w:rsidRDefault="00687364" w:rsidP="0068736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26A" w:rsidRPr="00E21781" w:rsidTr="00B0650F">
        <w:trPr>
          <w:trHeight w:val="45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14126A" w:rsidRPr="0063588D" w:rsidRDefault="0063588D" w:rsidP="0014126A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8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Reunião das CEFs do Sul;</w:t>
            </w:r>
          </w:p>
        </w:tc>
      </w:tr>
      <w:tr w:rsidR="0014126A" w:rsidRPr="00E21781" w:rsidTr="00B0650F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C43814" w:rsidRDefault="0063588D" w:rsidP="005361F7">
            <w:pPr>
              <w:pStyle w:val="PargrafodaLista"/>
              <w:shd w:val="clear" w:color="auto" w:fill="FFFFFF"/>
              <w:tabs>
                <w:tab w:val="left" w:pos="426"/>
                <w:tab w:val="left" w:pos="2490"/>
              </w:tabs>
              <w:spacing w:line="360" w:lineRule="auto"/>
              <w:ind w:left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1F7">
              <w:rPr>
                <w:rFonts w:ascii="Times New Roman" w:hAnsi="Times New Roman"/>
                <w:color w:val="000000"/>
                <w:szCs w:val="24"/>
              </w:rPr>
              <w:t xml:space="preserve">5.1. </w:t>
            </w:r>
            <w:r w:rsidRPr="005361F7">
              <w:rPr>
                <w:rFonts w:ascii="Times New Roman" w:hAnsi="Times New Roman"/>
                <w:color w:val="000000"/>
                <w:sz w:val="24"/>
                <w:szCs w:val="24"/>
              </w:rPr>
              <w:t>Organização;</w:t>
            </w:r>
          </w:p>
          <w:p w:rsidR="0063588D" w:rsidRDefault="00C43814" w:rsidP="005361F7">
            <w:pPr>
              <w:pStyle w:val="PargrafodaLista"/>
              <w:shd w:val="clear" w:color="auto" w:fill="FFFFFF"/>
              <w:tabs>
                <w:tab w:val="left" w:pos="426"/>
                <w:tab w:val="left" w:pos="2490"/>
              </w:tabs>
              <w:spacing w:line="360" w:lineRule="auto"/>
              <w:ind w:left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Programação:</w:t>
            </w:r>
            <w:r w:rsidR="0063588D" w:rsidRPr="005361F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C43814" w:rsidRDefault="00C43814" w:rsidP="00C43814">
            <w:pPr>
              <w:pStyle w:val="PargrafodaLista"/>
              <w:numPr>
                <w:ilvl w:val="0"/>
                <w:numId w:val="22"/>
              </w:numPr>
              <w:shd w:val="clear" w:color="auto" w:fill="FFFFFF"/>
              <w:tabs>
                <w:tab w:val="left" w:pos="2490"/>
              </w:tabs>
              <w:spacing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Horário de início: 9h 30 min com </w:t>
            </w:r>
            <w:r w:rsidRPr="00C4381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welcome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381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coffe</w:t>
            </w:r>
          </w:p>
          <w:p w:rsidR="00C43814" w:rsidRDefault="00C43814" w:rsidP="00C43814">
            <w:pPr>
              <w:pStyle w:val="PargrafodaLista"/>
              <w:numPr>
                <w:ilvl w:val="0"/>
                <w:numId w:val="22"/>
              </w:numPr>
              <w:shd w:val="clear" w:color="auto" w:fill="FFFFFF"/>
              <w:tabs>
                <w:tab w:val="left" w:pos="249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C43814">
              <w:rPr>
                <w:rFonts w:ascii="Times New Roman" w:hAnsi="Times New Roman"/>
                <w:color w:val="000000"/>
                <w:sz w:val="24"/>
                <w:szCs w:val="24"/>
              </w:rPr>
              <w:t>presentação da CEF-CAU/RS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43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  <w:p w:rsidR="00C43814" w:rsidRDefault="00C43814" w:rsidP="00C43814">
            <w:pPr>
              <w:pStyle w:val="PargrafodaLista"/>
              <w:numPr>
                <w:ilvl w:val="0"/>
                <w:numId w:val="22"/>
              </w:numPr>
              <w:shd w:val="clear" w:color="auto" w:fill="FFFFFF"/>
              <w:tabs>
                <w:tab w:val="left" w:pos="249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C43814">
              <w:rPr>
                <w:rFonts w:ascii="Times New Roman" w:hAnsi="Times New Roman"/>
                <w:color w:val="000000"/>
                <w:sz w:val="24"/>
                <w:szCs w:val="24"/>
              </w:rPr>
              <w:t>presentação da CEF-CAU/PR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43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  <w:r w:rsidRPr="00C43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43814" w:rsidRPr="00C43814" w:rsidRDefault="00C43814" w:rsidP="00C43814">
            <w:pPr>
              <w:pStyle w:val="PargrafodaLista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814">
              <w:rPr>
                <w:rFonts w:ascii="Times New Roman" w:hAnsi="Times New Roman"/>
                <w:color w:val="000000"/>
                <w:sz w:val="24"/>
                <w:szCs w:val="24"/>
              </w:rPr>
              <w:t>Apresentação da CEF-CAU/SC: 11:30</w:t>
            </w:r>
          </w:p>
          <w:p w:rsidR="00C43814" w:rsidRPr="00C43814" w:rsidRDefault="00C43814" w:rsidP="00C43814">
            <w:pPr>
              <w:pStyle w:val="PargrafodaLista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814">
              <w:rPr>
                <w:rFonts w:ascii="Times New Roman" w:hAnsi="Times New Roman"/>
                <w:color w:val="000000"/>
                <w:sz w:val="24"/>
                <w:szCs w:val="24"/>
              </w:rPr>
              <w:t>Almoço: 12:</w:t>
            </w:r>
            <w:r w:rsidR="00B83E3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C43814" w:rsidRPr="00C43814" w:rsidRDefault="00C43814" w:rsidP="00C43814">
            <w:pPr>
              <w:pStyle w:val="PargrafodaLista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Retorno do almoço: </w:t>
            </w:r>
            <w:r w:rsidR="00B83E34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  <w:p w:rsidR="00C43814" w:rsidRPr="00C43814" w:rsidRDefault="00C43814" w:rsidP="00C43814">
            <w:pPr>
              <w:pStyle w:val="PargrafodaLista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Fórum: </w:t>
            </w:r>
            <w:r w:rsidR="00B83E34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  <w:r w:rsidRPr="00C43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às </w:t>
            </w:r>
            <w:r w:rsidR="00B83E34"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</w:p>
          <w:p w:rsidR="0014126A" w:rsidRPr="00C43814" w:rsidRDefault="00C43814" w:rsidP="00C43814">
            <w:pPr>
              <w:pStyle w:val="PargrafodaLista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04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Coffe</w:t>
            </w:r>
            <w:r w:rsidRPr="00A904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de encerramento: 15:30</w:t>
            </w:r>
          </w:p>
        </w:tc>
      </w:tr>
      <w:tr w:rsidR="0014126A" w:rsidRPr="00E21781" w:rsidTr="00B0650F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14126A" w:rsidRPr="00654F30" w:rsidRDefault="0014126A" w:rsidP="0014126A">
            <w:pPr>
              <w:pStyle w:val="PargrafodaLista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Providências / Encaminhamentos</w:t>
            </w:r>
          </w:p>
        </w:tc>
      </w:tr>
      <w:tr w:rsidR="0014126A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14126A" w:rsidRPr="00654F30" w:rsidRDefault="0014126A" w:rsidP="0014126A">
            <w:pPr>
              <w:pStyle w:val="PargrafodaLista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14126A" w:rsidRPr="003556D5" w:rsidRDefault="0014126A" w:rsidP="0014126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14126A" w:rsidRPr="00654F30" w:rsidRDefault="0014126A" w:rsidP="00C43814">
            <w:pPr>
              <w:pStyle w:val="PargrafodaLista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14126A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14126A" w:rsidRPr="00654F30" w:rsidRDefault="0014126A" w:rsidP="0014126A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14126A" w:rsidRPr="00A90402" w:rsidRDefault="00C43814" w:rsidP="00C43814">
            <w:pPr>
              <w:tabs>
                <w:tab w:val="left" w:pos="6951"/>
              </w:tabs>
              <w:jc w:val="both"/>
              <w:rPr>
                <w:rStyle w:val="nfaseIntensa"/>
              </w:rPr>
            </w:pPr>
            <w:r w:rsidRPr="00A904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Providenciar o envio dos ofícios para convidar as CEFs do Paraná e de Santa Catarina.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14126A" w:rsidRPr="00654F30" w:rsidRDefault="00C43814" w:rsidP="00C4381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Sabrina Ourique</w:t>
            </w:r>
          </w:p>
        </w:tc>
      </w:tr>
      <w:tr w:rsidR="0014126A" w:rsidRPr="0014126A" w:rsidTr="00B0650F">
        <w:trPr>
          <w:trHeight w:val="45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14126A" w:rsidRPr="0063588D" w:rsidRDefault="0063588D" w:rsidP="0014126A">
            <w:pPr>
              <w:pStyle w:val="PargrafodaLista"/>
              <w:numPr>
                <w:ilvl w:val="0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8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Certidão para atribuição de georreferenciamento e correlatas;</w:t>
            </w:r>
          </w:p>
        </w:tc>
      </w:tr>
      <w:tr w:rsidR="0014126A" w:rsidRPr="0014126A" w:rsidTr="00B0650F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14126A" w:rsidRDefault="00C2443B" w:rsidP="00C2443B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Gerente Maríndia esclareceu a trajetória de discuss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ões entre o CONFEA </w:t>
            </w:r>
            <w:r w:rsidRPr="00C24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 INCRA e, posteriormente, CAU e INCRA, sobre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 atribuição dos arquitetos e urbanistas para a atividade de georreferenciamento e atividades correlatas. No momento </w:t>
            </w:r>
            <w:r w:rsidR="001C61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está vigente 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Deliberação </w:t>
            </w:r>
            <w:r w:rsidR="001C61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Plenária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do CAU/BR </w:t>
            </w:r>
            <w:r w:rsidR="001C61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 DPOBR nº 0055-10/2016 que deliberou sobre as diretrizes para concessão da desta atribuição aos profissionais registrados no CAU</w:t>
            </w:r>
            <w:r w:rsidR="00DD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D17E8" w:rsidRPr="00C2443B" w:rsidRDefault="00DD17E8" w:rsidP="001C6128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Decidido: a gerente Maríndia </w:t>
            </w:r>
            <w:r w:rsidR="001C61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irá elaborar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um ofício</w:t>
            </w:r>
            <w:r w:rsidR="001C61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a ser enviado ao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INCRA do RS, </w:t>
            </w:r>
            <w:r w:rsidR="001C61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dando ciência 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 </w:t>
            </w:r>
            <w:r w:rsidR="001C61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Deliberação Plenária do CAU/BR – DPOBR nº 0055-10/2016.</w:t>
            </w:r>
          </w:p>
        </w:tc>
      </w:tr>
      <w:tr w:rsidR="0014126A" w:rsidRPr="0014126A" w:rsidTr="00B0650F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14126A" w:rsidRPr="0014126A" w:rsidRDefault="0014126A" w:rsidP="0014126A">
            <w:pPr>
              <w:pStyle w:val="PargrafodaLista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Providências / Encaminhamentos</w:t>
            </w:r>
          </w:p>
        </w:tc>
      </w:tr>
      <w:tr w:rsidR="0014126A" w:rsidRPr="0014126A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14126A" w:rsidRPr="0014126A" w:rsidRDefault="0014126A" w:rsidP="0014126A">
            <w:pPr>
              <w:pStyle w:val="PargrafodaLista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14126A" w:rsidRPr="0014126A" w:rsidRDefault="0014126A" w:rsidP="00141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14126A" w:rsidRPr="0014126A" w:rsidRDefault="0014126A" w:rsidP="0014126A">
            <w:pPr>
              <w:pStyle w:val="PargrafodaLista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14126A" w:rsidRPr="0014126A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14126A" w:rsidRPr="00DD17E8" w:rsidRDefault="0014126A" w:rsidP="0014126A">
            <w:pPr>
              <w:pStyle w:val="PargrafodaLista"/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14126A" w:rsidRPr="00DD17E8" w:rsidRDefault="00DD17E8" w:rsidP="001C6128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Enviar um ofício para o </w:t>
            </w:r>
            <w:r w:rsidR="004564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INCRA do RS, </w:t>
            </w:r>
            <w:r w:rsidR="001C61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dando ciência da Deliberação Plenária do CAU/BR – DPOBR nº 0055-10/2016, a qual </w:t>
            </w:r>
            <w:r w:rsidRPr="00DD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definiu como será a comprovação d</w:t>
            </w:r>
            <w:r w:rsidR="001C61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DD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atribuição para a atividade 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georreferenciamento e atividades correlatas</w:t>
            </w:r>
            <w:r w:rsidR="001C61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para os profissionais registrados no CAU</w:t>
            </w:r>
            <w:r w:rsidRPr="00DD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14126A" w:rsidRPr="00DD17E8" w:rsidRDefault="00DD17E8" w:rsidP="004564BA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Maríndia Girardello</w:t>
            </w:r>
          </w:p>
        </w:tc>
      </w:tr>
      <w:tr w:rsidR="005A7229" w:rsidRPr="0014126A" w:rsidTr="00B0650F">
        <w:trPr>
          <w:trHeight w:val="45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5A7229" w:rsidRPr="0063588D" w:rsidRDefault="0063588D" w:rsidP="00B0650F">
            <w:pPr>
              <w:pStyle w:val="PargrafodaLista"/>
              <w:numPr>
                <w:ilvl w:val="0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8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Visita às IES que revalidam diplomas de instituições estrangeiras;</w:t>
            </w:r>
          </w:p>
        </w:tc>
      </w:tr>
      <w:tr w:rsidR="005A7229" w:rsidRPr="0014126A" w:rsidTr="00B0650F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A7229" w:rsidRDefault="007346D1" w:rsidP="00501F48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DECIDIDO</w:t>
            </w:r>
            <w:r w:rsidR="00501F48" w:rsidRPr="0050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encaminhar um memorando à presidência, para solicitar autorização para a ação de visitar as IES que realizam a revalidação de diplomados no exterior.</w:t>
            </w:r>
            <w:r w:rsidR="0050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E4400" w:rsidRPr="00501F48" w:rsidRDefault="006E4400" w:rsidP="006E4400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Após a autorização, agendar a visitação na UFRGS e na UFSM. A visitação em Erechim será no ano que vem. </w:t>
            </w:r>
          </w:p>
        </w:tc>
      </w:tr>
      <w:tr w:rsidR="005A7229" w:rsidRPr="0014126A" w:rsidTr="00B0650F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A7229" w:rsidRPr="0014126A" w:rsidRDefault="005A7229" w:rsidP="00B0650F">
            <w:pPr>
              <w:pStyle w:val="PargrafodaLista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Providências / Encaminhamentos</w:t>
            </w:r>
          </w:p>
        </w:tc>
      </w:tr>
      <w:tr w:rsidR="005A7229" w:rsidRPr="0014126A" w:rsidTr="00B0650F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5A7229" w:rsidRPr="0014126A" w:rsidRDefault="005A7229" w:rsidP="00B0650F">
            <w:pPr>
              <w:pStyle w:val="PargrafodaLista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5A7229" w:rsidRPr="0014126A" w:rsidRDefault="005A7229" w:rsidP="00B065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5A7229" w:rsidRPr="0014126A" w:rsidRDefault="005A7229" w:rsidP="00B0650F">
            <w:pPr>
              <w:pStyle w:val="PargrafodaLista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A7229" w:rsidRPr="0014126A" w:rsidTr="00B0650F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5A7229" w:rsidRPr="009B446E" w:rsidRDefault="005A7229" w:rsidP="00B0650F">
            <w:pPr>
              <w:pStyle w:val="PargrafodaLista"/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44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5A7229" w:rsidRPr="006E4400" w:rsidRDefault="006E4400" w:rsidP="006E4400">
            <w:pPr>
              <w:pStyle w:val="PargrafodaLista"/>
              <w:tabs>
                <w:tab w:val="left" w:pos="284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44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Encaminhar um memorando à presidência, para solicitar autorização para a ação de visitar as IES que realizam a revalidação de diplomados no exterior.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5A7229" w:rsidRPr="006E4400" w:rsidRDefault="006E4400" w:rsidP="00B0650F">
            <w:pPr>
              <w:pStyle w:val="PargrafodaLista"/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44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Equipe técnica</w:t>
            </w:r>
          </w:p>
        </w:tc>
      </w:tr>
      <w:tr w:rsidR="0063588D" w:rsidRPr="0014126A" w:rsidTr="00B0650F">
        <w:trPr>
          <w:trHeight w:val="45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63588D" w:rsidRPr="0063588D" w:rsidRDefault="0063588D" w:rsidP="00B0650F">
            <w:pPr>
              <w:pStyle w:val="PargrafodaLista"/>
              <w:numPr>
                <w:ilvl w:val="0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8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Pesquisa de livros sobre Extensão Universitária – indicados pelo Conselheiro </w:t>
            </w:r>
            <w:r w:rsidRPr="0063588D">
              <w:rPr>
                <w:rFonts w:ascii="Times New Roman" w:hAnsi="Times New Roman"/>
                <w:b/>
                <w:sz w:val="24"/>
                <w:szCs w:val="24"/>
              </w:rPr>
              <w:t>José Arthur Fell;</w:t>
            </w:r>
          </w:p>
        </w:tc>
      </w:tr>
      <w:tr w:rsidR="0063588D" w:rsidRPr="0014126A" w:rsidTr="00B0650F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588D" w:rsidRPr="006E4400" w:rsidRDefault="006E4400" w:rsidP="006E4400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44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Conselheiro José Arthur informa que os autores destes livros podem ser convidados a falar sobre extensão no seminário do segundo semestre.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Indicou a verificação da sinopse dos livros para identificar quais abordagens estão relacionadas com a ótica da comiss</w:t>
            </w:r>
            <w:r w:rsidR="009B44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ão, bem como os currículos CNPQ. Trazer os currículos dos principais autores para a comissão, a fim de avaliar a possibilidade de compra dos livros e o convite para participação do Seminário.</w:t>
            </w:r>
          </w:p>
        </w:tc>
      </w:tr>
      <w:tr w:rsidR="0063588D" w:rsidRPr="0014126A" w:rsidTr="00B0650F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588D" w:rsidRPr="0014126A" w:rsidRDefault="0063588D" w:rsidP="00B0650F">
            <w:pPr>
              <w:pStyle w:val="PargrafodaLista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Providências / Encaminhamentos</w:t>
            </w:r>
          </w:p>
        </w:tc>
      </w:tr>
      <w:tr w:rsidR="0063588D" w:rsidRPr="0014126A" w:rsidTr="00B0650F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3588D" w:rsidRPr="0014126A" w:rsidRDefault="0063588D" w:rsidP="00B0650F">
            <w:pPr>
              <w:pStyle w:val="PargrafodaLista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3588D" w:rsidRPr="0014126A" w:rsidRDefault="0063588D" w:rsidP="00B065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3588D" w:rsidRPr="0014126A" w:rsidRDefault="0063588D" w:rsidP="00B0650F">
            <w:pPr>
              <w:pStyle w:val="PargrafodaLista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63588D" w:rsidRPr="0014126A" w:rsidTr="00B0650F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3588D" w:rsidRPr="009B446E" w:rsidRDefault="0063588D" w:rsidP="00B0650F">
            <w:pPr>
              <w:pStyle w:val="PargrafodaLista"/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44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3588D" w:rsidRPr="009B446E" w:rsidRDefault="009B446E" w:rsidP="00C37645">
            <w:pPr>
              <w:pStyle w:val="PargrafodaLista"/>
              <w:tabs>
                <w:tab w:val="left" w:pos="284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44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Verificar, na sinopse dos livros, quais abordagens estão relacionadas com a ótica da comissão, bem como os currículos CNPQ. 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3588D" w:rsidRPr="009B446E" w:rsidRDefault="009B446E" w:rsidP="00B0650F">
            <w:pPr>
              <w:pStyle w:val="PargrafodaLista"/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44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Equipe técnica</w:t>
            </w:r>
          </w:p>
        </w:tc>
      </w:tr>
      <w:tr w:rsidR="0063588D" w:rsidRPr="0014126A" w:rsidTr="00B0650F">
        <w:trPr>
          <w:trHeight w:val="45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63588D" w:rsidRPr="0063588D" w:rsidRDefault="0063588D" w:rsidP="00B0650F">
            <w:pPr>
              <w:pStyle w:val="PargrafodaLista"/>
              <w:numPr>
                <w:ilvl w:val="0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8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Assuntos gerais;</w:t>
            </w:r>
          </w:p>
        </w:tc>
      </w:tr>
      <w:tr w:rsidR="0063588D" w:rsidRPr="0014126A" w:rsidTr="00B0650F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588D" w:rsidRDefault="00DC7902" w:rsidP="001879A4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9.1. </w:t>
            </w:r>
            <w:r w:rsidRPr="00DC7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Conselheiro Rinaldo informa que o projeto “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Futuro da P</w:t>
            </w:r>
            <w:r w:rsidRPr="00DC7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rofissão”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DC7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 patrocínio do CAU, poderia ser um projeto maior, visto o teor do assunto.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Citou a oficina </w:t>
            </w:r>
            <w:r w:rsidR="001879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que será realizada no dia 20/08/2016, pelo SAERGS. Como este projeto tem patrocínio do CAU, o conselheiro sugeriu que os representantes do CAU</w:t>
            </w:r>
            <w:r w:rsidR="004E3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1879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 e </w:t>
            </w:r>
            <w:r w:rsidR="004E3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CAU/</w:t>
            </w:r>
            <w:r w:rsidR="001879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SC sejam convidados a participar, visto que haverá a reunião das CEFS do Sul no dia 19/08/2016. </w:t>
            </w:r>
          </w:p>
          <w:p w:rsidR="001879A4" w:rsidRDefault="001879A4" w:rsidP="001879A4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9.2. </w:t>
            </w:r>
            <w:r w:rsidR="003A70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Foram coletadas as q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uestões para levantar na reunião da CEF-CAU/BR, que terá a participação da CEF-CAU/RS no dia 29/08/2016, pela manhã.</w:t>
            </w:r>
          </w:p>
          <w:p w:rsidR="004E3B8D" w:rsidRDefault="000C1BF7" w:rsidP="000C1BF7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4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Conselheiro Rinaldo indica que seja feita uma agenda de palestras do conselho, englobando as três comissões técnicas, utilizando o SICCAU como veículo de comunicação. Estas palestras poderiam abordar assuntos do conselho e assuntos que interessam os profissionais e os estudantes de arquitetura e urbanismo. Josiane indica que a CEF converse com os coordenadores e coordenadores adjuntos das outras comissões técnicas e com a coordenadora do CEP-CAU, a fim de afinar esta ideia e, posteriormente, leva</w:t>
            </w:r>
            <w:r w:rsidR="004E3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 a proposta para as comissões.</w:t>
            </w:r>
          </w:p>
          <w:p w:rsidR="000C1BF7" w:rsidRDefault="004E3B8D" w:rsidP="00A711F1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Decidido: </w:t>
            </w:r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alterar a data da reunião ordinária do dia 09/08/2016, para o dia 02/08/2016, das 10h às 12:30, com pauta única de planejamento deste projeto,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fim de preparar um material para apresentar às outras comissões técnicas n</w:t>
            </w:r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reunião da CEF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dia </w:t>
            </w:r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/08/2016</w:t>
            </w:r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C1BF7" w:rsidRDefault="004E3B8D" w:rsidP="00CA0D63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Decidido</w:t>
            </w:r>
            <w:r w:rsidR="000A0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0C1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encaminhar um memorando para </w:t>
            </w:r>
            <w:r w:rsidR="00CA0D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</w:t>
            </w:r>
            <w:r w:rsidR="00CA0D63" w:rsidRPr="00CA0D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coordenadores e coordenadores adjuntos </w:t>
            </w:r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0C1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comissões permanentes:</w:t>
            </w:r>
            <w:r w:rsidR="00CA0D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CED, </w:t>
            </w:r>
            <w:r w:rsidR="00CA0D63" w:rsidRPr="00CA0D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CEP </w:t>
            </w:r>
            <w:r w:rsidR="00CA0D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 CP-CAU</w:t>
            </w:r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0C1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0D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convidando-os a participar d</w:t>
            </w:r>
            <w:r w:rsidR="00AF5B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CA0D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reunião da CEF</w:t>
            </w:r>
            <w:r w:rsidR="00AF5B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do dia </w:t>
            </w:r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  <w:r w:rsidR="00AF5B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/08/2016,</w:t>
            </w:r>
            <w:r w:rsidR="00CA0D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para discutir um projeto de módulos de formação continuada, por meio de palestras, como ação conjunta das comissões técnicas, </w:t>
            </w:r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constituindo </w:t>
            </w:r>
            <w:r w:rsidR="00CA0D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uma agenda que contemple uma sequencia de cursos, com horas certificadas ao final dos módulos.</w:t>
            </w:r>
            <w:r w:rsidR="000A0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Josiane informa que tem interesse em participar desta reunião.</w:t>
            </w:r>
          </w:p>
          <w:p w:rsidR="006E4400" w:rsidRPr="009B455E" w:rsidRDefault="009B455E" w:rsidP="00CA0D63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9.4. </w:t>
            </w:r>
            <w:r w:rsidR="009539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Contatar as IES e informar que a comissão de ensino e formação está </w:t>
            </w:r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à</w:t>
            </w:r>
            <w:r w:rsidR="009539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disposição para participar das semanas acadêmicas.</w:t>
            </w:r>
          </w:p>
        </w:tc>
      </w:tr>
      <w:tr w:rsidR="0063588D" w:rsidRPr="0014126A" w:rsidTr="00B0650F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588D" w:rsidRPr="0014126A" w:rsidRDefault="0063588D" w:rsidP="00B0650F">
            <w:pPr>
              <w:pStyle w:val="PargrafodaLista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Providências / Encaminhamentos</w:t>
            </w:r>
          </w:p>
        </w:tc>
      </w:tr>
      <w:tr w:rsidR="0063588D" w:rsidRPr="0014126A" w:rsidTr="00B0650F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3588D" w:rsidRPr="0014126A" w:rsidRDefault="0063588D" w:rsidP="00B0650F">
            <w:pPr>
              <w:pStyle w:val="PargrafodaLista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3588D" w:rsidRPr="0014126A" w:rsidRDefault="0063588D" w:rsidP="00B065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3588D" w:rsidRPr="0014126A" w:rsidRDefault="0063588D" w:rsidP="00B0650F">
            <w:pPr>
              <w:pStyle w:val="PargrafodaLista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3A7031" w:rsidRPr="003A7031" w:rsidTr="005129DE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3A7031" w:rsidRPr="003A7031" w:rsidRDefault="003A7031" w:rsidP="003A7031">
            <w:pPr>
              <w:pStyle w:val="PargrafodaList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70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3A7031" w:rsidRPr="003A7031" w:rsidRDefault="003A7031" w:rsidP="00A711F1">
            <w:pPr>
              <w:pStyle w:val="PargrafodaLista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3A70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ncaminhar um memorando para os coordenadores e coordenadores</w:t>
            </w:r>
            <w:r w:rsidR="009B1A0F" w:rsidRPr="009B1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564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adjuntos </w:t>
            </w:r>
            <w:bookmarkStart w:id="0" w:name="_GoBack"/>
            <w:bookmarkEnd w:id="0"/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das comissões permanentes: CED, </w:t>
            </w:r>
            <w:r w:rsidR="00A711F1" w:rsidRPr="00CA0D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CEP </w:t>
            </w:r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 CP-CAU,</w:t>
            </w:r>
            <w:r w:rsidR="00A711F1" w:rsidRPr="009B1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1A0F" w:rsidRPr="009B1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convidando-os a participar da</w:t>
            </w:r>
            <w:r w:rsidR="009B1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1A0F" w:rsidRPr="009B1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reunião da CEF do dia </w:t>
            </w:r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23/08/2016, para discutir o </w:t>
            </w:r>
            <w:r w:rsidR="009B1A0F" w:rsidRPr="009B1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projeto de módulos de formação continuada</w:t>
            </w:r>
            <w:r w:rsidR="00A711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3A70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9B1A0F" w:rsidRDefault="009B1A0F" w:rsidP="003A7031">
            <w:pPr>
              <w:pStyle w:val="PargrafodaList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1A0F" w:rsidRDefault="009B1A0F" w:rsidP="003A7031">
            <w:pPr>
              <w:pStyle w:val="PargrafodaList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1A0F" w:rsidRDefault="009B1A0F" w:rsidP="003A7031">
            <w:pPr>
              <w:pStyle w:val="PargrafodaList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1A0F" w:rsidRDefault="009B1A0F" w:rsidP="003A7031">
            <w:pPr>
              <w:pStyle w:val="PargrafodaList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A7031" w:rsidRPr="009B1A0F" w:rsidRDefault="009B1A0F" w:rsidP="009B1A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Equipe Técnica</w:t>
            </w:r>
          </w:p>
        </w:tc>
      </w:tr>
      <w:tr w:rsidR="0063588D" w:rsidRPr="00654F30" w:rsidTr="00B0650F">
        <w:trPr>
          <w:trHeight w:val="454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63588D" w:rsidRPr="00654F30" w:rsidRDefault="0063588D" w:rsidP="00B0650F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63588D" w:rsidRPr="00654F30" w:rsidRDefault="0063588D" w:rsidP="00B0650F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63588D" w:rsidRPr="00654F30" w:rsidRDefault="0063588D" w:rsidP="00B0650F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63588D" w:rsidRPr="00654F30" w:rsidTr="00B0650F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88D" w:rsidRPr="00654F30" w:rsidTr="00B0650F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88D" w:rsidRPr="00654F30" w:rsidTr="00B0650F">
        <w:trPr>
          <w:trHeight w:val="454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588D" w:rsidRPr="00654F30" w:rsidRDefault="0063588D" w:rsidP="00B06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C33381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8E8" w:rsidRDefault="00ED08E8" w:rsidP="00E92ED3">
      <w:pPr>
        <w:spacing w:after="0" w:line="240" w:lineRule="auto"/>
      </w:pPr>
      <w:r>
        <w:separator/>
      </w:r>
    </w:p>
  </w:endnote>
  <w:endnote w:type="continuationSeparator" w:id="0">
    <w:p w:rsidR="00ED08E8" w:rsidRDefault="00ED08E8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4564BA">
          <w:rPr>
            <w:rFonts w:asciiTheme="majorHAnsi" w:hAnsiTheme="majorHAnsi" w:cs="Arial"/>
            <w:noProof/>
            <w:sz w:val="18"/>
            <w:szCs w:val="18"/>
          </w:rPr>
          <w:t>3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8E8" w:rsidRDefault="00ED08E8" w:rsidP="00E92ED3">
      <w:pPr>
        <w:spacing w:after="0" w:line="240" w:lineRule="auto"/>
      </w:pPr>
      <w:r>
        <w:separator/>
      </w:r>
    </w:p>
  </w:footnote>
  <w:footnote w:type="continuationSeparator" w:id="0">
    <w:p w:rsidR="00ED08E8" w:rsidRDefault="00ED08E8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8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17"/>
  </w:num>
  <w:num w:numId="10">
    <w:abstractNumId w:val="10"/>
  </w:num>
  <w:num w:numId="11">
    <w:abstractNumId w:val="14"/>
  </w:num>
  <w:num w:numId="12">
    <w:abstractNumId w:val="16"/>
  </w:num>
  <w:num w:numId="13">
    <w:abstractNumId w:val="6"/>
  </w:num>
  <w:num w:numId="14">
    <w:abstractNumId w:val="6"/>
  </w:num>
  <w:num w:numId="15">
    <w:abstractNumId w:val="19"/>
  </w:num>
  <w:num w:numId="16">
    <w:abstractNumId w:val="4"/>
  </w:num>
  <w:num w:numId="17">
    <w:abstractNumId w:val="20"/>
  </w:num>
  <w:num w:numId="18">
    <w:abstractNumId w:val="15"/>
  </w:num>
  <w:num w:numId="19">
    <w:abstractNumId w:val="3"/>
  </w:num>
  <w:num w:numId="20">
    <w:abstractNumId w:val="9"/>
  </w:num>
  <w:num w:numId="21">
    <w:abstractNumId w:val="11"/>
  </w:num>
  <w:num w:numId="2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06E1F"/>
    <w:rsid w:val="0000701A"/>
    <w:rsid w:val="00007C63"/>
    <w:rsid w:val="00012E40"/>
    <w:rsid w:val="0001492C"/>
    <w:rsid w:val="0001769B"/>
    <w:rsid w:val="0002602A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25C4"/>
    <w:rsid w:val="000429DF"/>
    <w:rsid w:val="00046447"/>
    <w:rsid w:val="000518D6"/>
    <w:rsid w:val="0005327B"/>
    <w:rsid w:val="0005493F"/>
    <w:rsid w:val="00057A81"/>
    <w:rsid w:val="00061EF6"/>
    <w:rsid w:val="00063738"/>
    <w:rsid w:val="0006511A"/>
    <w:rsid w:val="00066B4B"/>
    <w:rsid w:val="000675EF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4446"/>
    <w:rsid w:val="000C5BF5"/>
    <w:rsid w:val="000C7A70"/>
    <w:rsid w:val="000D200A"/>
    <w:rsid w:val="000D751D"/>
    <w:rsid w:val="000D784A"/>
    <w:rsid w:val="000E05E4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4AEF"/>
    <w:rsid w:val="00104EB6"/>
    <w:rsid w:val="00106897"/>
    <w:rsid w:val="00110F2F"/>
    <w:rsid w:val="00111051"/>
    <w:rsid w:val="001127AF"/>
    <w:rsid w:val="001136DA"/>
    <w:rsid w:val="001138BC"/>
    <w:rsid w:val="001150E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630C"/>
    <w:rsid w:val="0018677D"/>
    <w:rsid w:val="00187702"/>
    <w:rsid w:val="001879A4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1B4"/>
    <w:rsid w:val="001B697B"/>
    <w:rsid w:val="001C0987"/>
    <w:rsid w:val="001C16EF"/>
    <w:rsid w:val="001C449B"/>
    <w:rsid w:val="001C538F"/>
    <w:rsid w:val="001C6128"/>
    <w:rsid w:val="001E0E8A"/>
    <w:rsid w:val="001E2707"/>
    <w:rsid w:val="001E4275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44B"/>
    <w:rsid w:val="001F7710"/>
    <w:rsid w:val="00200392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2858"/>
    <w:rsid w:val="0023313D"/>
    <w:rsid w:val="0023560C"/>
    <w:rsid w:val="00240A8A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7872"/>
    <w:rsid w:val="002607E8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4C6A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F4E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7057"/>
    <w:rsid w:val="00363C67"/>
    <w:rsid w:val="00365D44"/>
    <w:rsid w:val="00371E3B"/>
    <w:rsid w:val="00373518"/>
    <w:rsid w:val="00374DCD"/>
    <w:rsid w:val="003751DC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A7031"/>
    <w:rsid w:val="003B0743"/>
    <w:rsid w:val="003B1387"/>
    <w:rsid w:val="003B5D6E"/>
    <w:rsid w:val="003B7092"/>
    <w:rsid w:val="003C2986"/>
    <w:rsid w:val="003C3801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462F"/>
    <w:rsid w:val="003F5674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3778"/>
    <w:rsid w:val="00455917"/>
    <w:rsid w:val="004564BA"/>
    <w:rsid w:val="0045662E"/>
    <w:rsid w:val="00456D35"/>
    <w:rsid w:val="004571F0"/>
    <w:rsid w:val="0045793C"/>
    <w:rsid w:val="00457AF3"/>
    <w:rsid w:val="004603A9"/>
    <w:rsid w:val="00465760"/>
    <w:rsid w:val="00467BF8"/>
    <w:rsid w:val="00473021"/>
    <w:rsid w:val="0047510F"/>
    <w:rsid w:val="00483D09"/>
    <w:rsid w:val="00485577"/>
    <w:rsid w:val="00486506"/>
    <w:rsid w:val="00493771"/>
    <w:rsid w:val="004959A0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DA2"/>
    <w:rsid w:val="004D1303"/>
    <w:rsid w:val="004D4987"/>
    <w:rsid w:val="004D6220"/>
    <w:rsid w:val="004D766C"/>
    <w:rsid w:val="004E0377"/>
    <w:rsid w:val="004E049A"/>
    <w:rsid w:val="004E2A36"/>
    <w:rsid w:val="004E37DC"/>
    <w:rsid w:val="004E3B8D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3C0F"/>
    <w:rsid w:val="005361F7"/>
    <w:rsid w:val="00537CE2"/>
    <w:rsid w:val="00540A2E"/>
    <w:rsid w:val="00543447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D1639"/>
    <w:rsid w:val="005D2E7C"/>
    <w:rsid w:val="005D7C1E"/>
    <w:rsid w:val="005D7F43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64FA1"/>
    <w:rsid w:val="00670618"/>
    <w:rsid w:val="00671875"/>
    <w:rsid w:val="00671961"/>
    <w:rsid w:val="00674353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541C"/>
    <w:rsid w:val="006959CB"/>
    <w:rsid w:val="0069685C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C623A"/>
    <w:rsid w:val="006D13A5"/>
    <w:rsid w:val="006D3A71"/>
    <w:rsid w:val="006D5F6D"/>
    <w:rsid w:val="006D7810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30391"/>
    <w:rsid w:val="007324E8"/>
    <w:rsid w:val="00732B29"/>
    <w:rsid w:val="00732D05"/>
    <w:rsid w:val="007346D1"/>
    <w:rsid w:val="00734C68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8002A4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551C"/>
    <w:rsid w:val="00826804"/>
    <w:rsid w:val="00827019"/>
    <w:rsid w:val="00827C6B"/>
    <w:rsid w:val="008316C9"/>
    <w:rsid w:val="00831B35"/>
    <w:rsid w:val="00834C65"/>
    <w:rsid w:val="00836AF8"/>
    <w:rsid w:val="008401CF"/>
    <w:rsid w:val="00841675"/>
    <w:rsid w:val="0084381C"/>
    <w:rsid w:val="00843D41"/>
    <w:rsid w:val="00844BFD"/>
    <w:rsid w:val="008450D0"/>
    <w:rsid w:val="00847667"/>
    <w:rsid w:val="00850066"/>
    <w:rsid w:val="00850419"/>
    <w:rsid w:val="0085055E"/>
    <w:rsid w:val="00852E32"/>
    <w:rsid w:val="00855C3C"/>
    <w:rsid w:val="00856083"/>
    <w:rsid w:val="00860255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41E5"/>
    <w:rsid w:val="00884993"/>
    <w:rsid w:val="00886C1B"/>
    <w:rsid w:val="0088702F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163E"/>
    <w:rsid w:val="008D2439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F33E0"/>
    <w:rsid w:val="008F5478"/>
    <w:rsid w:val="008F5DB4"/>
    <w:rsid w:val="008F6D78"/>
    <w:rsid w:val="008F710D"/>
    <w:rsid w:val="0090019E"/>
    <w:rsid w:val="00901386"/>
    <w:rsid w:val="00902CFD"/>
    <w:rsid w:val="00903912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6D4B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11F1"/>
    <w:rsid w:val="00A73140"/>
    <w:rsid w:val="00A751D3"/>
    <w:rsid w:val="00A75297"/>
    <w:rsid w:val="00A82CFD"/>
    <w:rsid w:val="00A87A2A"/>
    <w:rsid w:val="00A90402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798F"/>
    <w:rsid w:val="00AB31C2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5902"/>
    <w:rsid w:val="00B40018"/>
    <w:rsid w:val="00B445E1"/>
    <w:rsid w:val="00B44936"/>
    <w:rsid w:val="00B46410"/>
    <w:rsid w:val="00B476D7"/>
    <w:rsid w:val="00B5269F"/>
    <w:rsid w:val="00B53794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70C34"/>
    <w:rsid w:val="00B725B0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33381"/>
    <w:rsid w:val="00C37645"/>
    <w:rsid w:val="00C37A61"/>
    <w:rsid w:val="00C43814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1C92"/>
    <w:rsid w:val="00CA203B"/>
    <w:rsid w:val="00CA2CBE"/>
    <w:rsid w:val="00CA6F4C"/>
    <w:rsid w:val="00CA7D69"/>
    <w:rsid w:val="00CB156D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60A4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CC9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3C74"/>
    <w:rsid w:val="00F7409B"/>
    <w:rsid w:val="00F748F9"/>
    <w:rsid w:val="00F77B83"/>
    <w:rsid w:val="00F80E43"/>
    <w:rsid w:val="00F81900"/>
    <w:rsid w:val="00F819BC"/>
    <w:rsid w:val="00F824E5"/>
    <w:rsid w:val="00F825C8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09C0"/>
    <w:rsid w:val="00FB1536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3FE004B-DB0E-4438-AECA-6C8DF406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CD60A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36011-A550-4338-AC50-FC20AAB9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1368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2016-05-31T13:48:00Z</cp:lastPrinted>
  <dcterms:created xsi:type="dcterms:W3CDTF">2016-07-26T17:31:00Z</dcterms:created>
  <dcterms:modified xsi:type="dcterms:W3CDTF">2016-08-01T19:43:00Z</dcterms:modified>
</cp:coreProperties>
</file>