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</w:t>
      </w:r>
      <w:r w:rsidR="00204766">
        <w:rPr>
          <w:rFonts w:eastAsia="Cambria" w:cs="Times New Roman"/>
          <w:b/>
        </w:rPr>
        <w:t xml:space="preserve"> 9</w:t>
      </w:r>
      <w:r w:rsidR="00622D8D">
        <w:rPr>
          <w:rFonts w:eastAsia="Cambria" w:cs="Times New Roman"/>
          <w:b/>
        </w:rPr>
        <w:t>4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 xml:space="preserve">Ordinária da Comissão </w:t>
      </w:r>
      <w:r w:rsidR="00452A37">
        <w:rPr>
          <w:rFonts w:eastAsia="Cambria" w:cs="Times New Roman"/>
          <w:b/>
        </w:rPr>
        <w:t>de Ética e Disciplina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1118"/>
        <w:gridCol w:w="2776"/>
        <w:gridCol w:w="9"/>
        <w:gridCol w:w="852"/>
        <w:gridCol w:w="1953"/>
        <w:gridCol w:w="1820"/>
      </w:tblGrid>
      <w:tr w:rsidR="001176FB" w:rsidRPr="00E96F96" w:rsidTr="00622D8D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03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622D8D" w:rsidP="00896444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04/07/</w:t>
            </w:r>
            <w:r w:rsidR="00C34E15">
              <w:rPr>
                <w:rFonts w:eastAsia="Cambria" w:cs="Times New Roman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B56824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</w:t>
            </w:r>
            <w:r w:rsidR="00B56824">
              <w:rPr>
                <w:rFonts w:eastAsia="Cambria" w:cs="Times New Roman"/>
              </w:rPr>
              <w:t>15º andar</w:t>
            </w:r>
          </w:p>
        </w:tc>
      </w:tr>
      <w:tr w:rsidR="001176FB" w:rsidRPr="00E96F96" w:rsidTr="00622D8D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FD4444" w:rsidP="009F0D6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09h30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FD4444" w:rsidP="00CB6A2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11h30</w:t>
            </w:r>
          </w:p>
        </w:tc>
      </w:tr>
      <w:tr w:rsidR="005610D3" w:rsidRPr="00E96F96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622D8D">
        <w:tc>
          <w:tcPr>
            <w:tcW w:w="4602" w:type="dxa"/>
            <w:gridSpan w:val="3"/>
          </w:tcPr>
          <w:p w:rsidR="00F71904" w:rsidRPr="002A2D58" w:rsidRDefault="00452A37" w:rsidP="00452A37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Marcelo Petrucci Maia</w:t>
            </w:r>
          </w:p>
        </w:tc>
        <w:tc>
          <w:tcPr>
            <w:tcW w:w="4634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622D8D">
        <w:tc>
          <w:tcPr>
            <w:tcW w:w="4602" w:type="dxa"/>
            <w:gridSpan w:val="3"/>
          </w:tcPr>
          <w:p w:rsidR="00F71904" w:rsidRPr="00E96F96" w:rsidRDefault="00452A37" w:rsidP="00452A37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Rui Mineiro</w:t>
            </w:r>
          </w:p>
        </w:tc>
        <w:tc>
          <w:tcPr>
            <w:tcW w:w="4634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CB6A2E" w:rsidRPr="00E96F96" w:rsidTr="00622D8D">
        <w:tc>
          <w:tcPr>
            <w:tcW w:w="4602" w:type="dxa"/>
            <w:gridSpan w:val="3"/>
          </w:tcPr>
          <w:p w:rsidR="00CB6A2E" w:rsidRDefault="00622D8D" w:rsidP="00452A37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Márcio Gomes Lontra</w:t>
            </w:r>
          </w:p>
        </w:tc>
        <w:tc>
          <w:tcPr>
            <w:tcW w:w="4634" w:type="dxa"/>
            <w:gridSpan w:val="4"/>
          </w:tcPr>
          <w:p w:rsidR="00CB6A2E" w:rsidRPr="00E96F96" w:rsidRDefault="00CB6A2E" w:rsidP="00622D8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</w:t>
            </w:r>
            <w:r w:rsidR="00323E9D">
              <w:rPr>
                <w:rFonts w:eastAsia="Cambria" w:cs="Times New Roman"/>
              </w:rPr>
              <w:t xml:space="preserve"> </w:t>
            </w:r>
          </w:p>
        </w:tc>
      </w:tr>
      <w:tr w:rsidR="007771F2" w:rsidRPr="00E96F96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622D8D">
        <w:tc>
          <w:tcPr>
            <w:tcW w:w="4602" w:type="dxa"/>
            <w:gridSpan w:val="3"/>
          </w:tcPr>
          <w:p w:rsidR="007771F2" w:rsidRPr="00E96F96" w:rsidRDefault="00447500" w:rsidP="00D10625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proofErr w:type="spellStart"/>
            <w:r>
              <w:rPr>
                <w:rFonts w:eastAsia="Cambria" w:cs="Times New Roman"/>
              </w:rPr>
              <w:t>Maríndia</w:t>
            </w:r>
            <w:proofErr w:type="spellEnd"/>
            <w:r>
              <w:rPr>
                <w:rFonts w:eastAsia="Cambria" w:cs="Times New Roman"/>
              </w:rPr>
              <w:t xml:space="preserve"> Izabel Girardello</w:t>
            </w:r>
          </w:p>
        </w:tc>
        <w:tc>
          <w:tcPr>
            <w:tcW w:w="4634" w:type="dxa"/>
            <w:gridSpan w:val="4"/>
          </w:tcPr>
          <w:p w:rsidR="007771F2" w:rsidRPr="00E96F96" w:rsidRDefault="00447500" w:rsidP="00D1062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</w:p>
        </w:tc>
      </w:tr>
      <w:tr w:rsidR="00447500" w:rsidRPr="00E96F96" w:rsidTr="00622D8D">
        <w:tc>
          <w:tcPr>
            <w:tcW w:w="4602" w:type="dxa"/>
            <w:gridSpan w:val="3"/>
          </w:tcPr>
          <w:p w:rsidR="00447500" w:rsidRPr="00E96F96" w:rsidRDefault="00447500" w:rsidP="00447500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Raquel Dias Coll de Oliveira</w:t>
            </w:r>
          </w:p>
        </w:tc>
        <w:tc>
          <w:tcPr>
            <w:tcW w:w="4634" w:type="dxa"/>
            <w:gridSpan w:val="4"/>
          </w:tcPr>
          <w:p w:rsidR="00447500" w:rsidRPr="00E96F96" w:rsidRDefault="00447500" w:rsidP="00447500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Arquiteta e Urbanista</w:t>
            </w:r>
          </w:p>
        </w:tc>
      </w:tr>
      <w:tr w:rsidR="00447500" w:rsidRPr="00E96F96" w:rsidTr="00622D8D">
        <w:tc>
          <w:tcPr>
            <w:tcW w:w="4602" w:type="dxa"/>
            <w:gridSpan w:val="3"/>
          </w:tcPr>
          <w:p w:rsidR="00447500" w:rsidRDefault="00447500" w:rsidP="00447500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Eduardo Sprenger da Silva</w:t>
            </w:r>
          </w:p>
        </w:tc>
        <w:tc>
          <w:tcPr>
            <w:tcW w:w="4634" w:type="dxa"/>
            <w:gridSpan w:val="4"/>
          </w:tcPr>
          <w:p w:rsidR="00447500" w:rsidRPr="00E96F96" w:rsidRDefault="00447500" w:rsidP="00447500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Administrativo</w:t>
            </w:r>
          </w:p>
        </w:tc>
      </w:tr>
      <w:tr w:rsidR="00447500" w:rsidRPr="00E96F96" w:rsidTr="00622D8D">
        <w:tc>
          <w:tcPr>
            <w:tcW w:w="4602" w:type="dxa"/>
            <w:gridSpan w:val="3"/>
          </w:tcPr>
          <w:p w:rsidR="00447500" w:rsidRPr="00E96F96" w:rsidRDefault="00447500" w:rsidP="00447500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34" w:type="dxa"/>
            <w:gridSpan w:val="4"/>
          </w:tcPr>
          <w:p w:rsidR="00447500" w:rsidRPr="00E96F96" w:rsidRDefault="00447500" w:rsidP="00447500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Secretária Executiva</w:t>
            </w:r>
          </w:p>
        </w:tc>
      </w:tr>
    </w:tbl>
    <w:p w:rsidR="007C0120" w:rsidRDefault="007C0120" w:rsidP="000C4A0A">
      <w:pPr>
        <w:spacing w:after="0" w:line="240" w:lineRule="auto"/>
        <w:jc w:val="both"/>
        <w:rPr>
          <w:rFonts w:cs="Calibri"/>
          <w:b/>
        </w:rPr>
      </w:pPr>
    </w:p>
    <w:p w:rsidR="008F31DB" w:rsidRPr="00A43211" w:rsidRDefault="00072369" w:rsidP="000C4A0A">
      <w:pPr>
        <w:spacing w:after="0" w:line="240" w:lineRule="auto"/>
        <w:jc w:val="both"/>
        <w:rPr>
          <w:rFonts w:cs="Calibri"/>
          <w:b/>
        </w:rPr>
      </w:pPr>
      <w:r w:rsidRPr="00A43211">
        <w:rPr>
          <w:rFonts w:cs="Calibri"/>
          <w:b/>
        </w:rPr>
        <w:t>PAUTA:</w:t>
      </w:r>
    </w:p>
    <w:p w:rsidR="00AF37FE" w:rsidRPr="00B042F0" w:rsidRDefault="00AF37FE" w:rsidP="000C4A0A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>Verificação do quórum</w:t>
      </w:r>
      <w:r w:rsidR="009F0D65" w:rsidRPr="00B042F0">
        <w:rPr>
          <w:rFonts w:ascii="Calibri" w:hAnsi="Calibri"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B042F0" w:rsidTr="00B61CBB">
        <w:tc>
          <w:tcPr>
            <w:tcW w:w="1999" w:type="dxa"/>
            <w:vAlign w:val="center"/>
          </w:tcPr>
          <w:p w:rsidR="00041ED0" w:rsidRPr="00B042F0" w:rsidRDefault="00041ED0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B042F0" w:rsidRDefault="00E24DCB" w:rsidP="00B042F0">
            <w:pPr>
              <w:pStyle w:val="PargrafodaLista"/>
              <w:ind w:left="0"/>
              <w:jc w:val="both"/>
              <w:rPr>
                <w:rFonts w:ascii="Calibri" w:hAnsi="Calibri" w:cs="Calibri"/>
                <w:highlight w:val="yellow"/>
              </w:rPr>
            </w:pPr>
            <w:r w:rsidRPr="009E2EA3">
              <w:rPr>
                <w:rFonts w:ascii="Calibri" w:hAnsi="Calibri" w:cs="Calibri"/>
              </w:rPr>
              <w:t>Todos os Conselheiros convocados estão presentes. O Coordenador inicia a reunião.</w:t>
            </w:r>
          </w:p>
        </w:tc>
      </w:tr>
      <w:tr w:rsidR="00041ED0" w:rsidRPr="00B042F0" w:rsidTr="00B61CBB">
        <w:tc>
          <w:tcPr>
            <w:tcW w:w="1999" w:type="dxa"/>
            <w:vAlign w:val="center"/>
          </w:tcPr>
          <w:p w:rsidR="00041ED0" w:rsidRPr="00B042F0" w:rsidRDefault="00041ED0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B042F0" w:rsidRDefault="00E24DCB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B26BCA" w:rsidRPr="00B042F0" w:rsidRDefault="00B26BCA" w:rsidP="00B042F0">
      <w:pPr>
        <w:pStyle w:val="PargrafodaLista"/>
        <w:spacing w:after="0" w:line="240" w:lineRule="auto"/>
        <w:rPr>
          <w:rFonts w:ascii="Calibri" w:hAnsi="Calibri" w:cs="Calibri"/>
          <w:b/>
        </w:rPr>
      </w:pPr>
    </w:p>
    <w:p w:rsidR="00AF37FE" w:rsidRPr="00B042F0" w:rsidRDefault="00AF37FE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>Verificação da pauta e inclusão de assuntos extras</w:t>
      </w:r>
      <w:r w:rsidR="009F0D65" w:rsidRPr="00B042F0">
        <w:rPr>
          <w:rFonts w:ascii="Calibri" w:hAnsi="Calibri"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B042F0" w:rsidTr="00BA7EBE">
        <w:tc>
          <w:tcPr>
            <w:tcW w:w="1999" w:type="dxa"/>
            <w:vAlign w:val="center"/>
          </w:tcPr>
          <w:p w:rsidR="00AF37FE" w:rsidRPr="00B042F0" w:rsidRDefault="00AF37FE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4DCB" w:rsidRPr="00E24DCB" w:rsidRDefault="006D21CC" w:rsidP="006D21CC">
            <w:pPr>
              <w:shd w:val="clear" w:color="auto" w:fill="FFFFFF"/>
              <w:tabs>
                <w:tab w:val="left" w:pos="284"/>
              </w:tabs>
              <w:jc w:val="both"/>
            </w:pPr>
            <w:r>
              <w:t>Verificada a pauta, não há a inclusão de assuntos extras.</w:t>
            </w:r>
          </w:p>
        </w:tc>
      </w:tr>
      <w:tr w:rsidR="00AF37FE" w:rsidRPr="00B042F0" w:rsidTr="00BA7EBE">
        <w:tc>
          <w:tcPr>
            <w:tcW w:w="1999" w:type="dxa"/>
            <w:vAlign w:val="center"/>
          </w:tcPr>
          <w:p w:rsidR="00AF37FE" w:rsidRPr="00B042F0" w:rsidRDefault="00AF37FE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B042F0" w:rsidRDefault="006D21CC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B26BCA" w:rsidRPr="00B042F0" w:rsidRDefault="00B26BCA" w:rsidP="00B042F0">
      <w:pPr>
        <w:pStyle w:val="PargrafodaLista"/>
        <w:spacing w:after="0" w:line="240" w:lineRule="auto"/>
        <w:ind w:left="714"/>
        <w:rPr>
          <w:rFonts w:ascii="Calibri" w:hAnsi="Calibri" w:cs="Calibri"/>
          <w:b/>
        </w:rPr>
      </w:pPr>
    </w:p>
    <w:p w:rsidR="002B396B" w:rsidRPr="00B042F0" w:rsidRDefault="005E420D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 xml:space="preserve">Aprovação </w:t>
      </w:r>
      <w:r w:rsidR="00D135B9" w:rsidRPr="00B042F0">
        <w:rPr>
          <w:rFonts w:ascii="Calibri" w:hAnsi="Calibri" w:cs="Calibri"/>
          <w:b/>
        </w:rPr>
        <w:t>da súmula da reunião anterior</w:t>
      </w:r>
      <w:r w:rsidR="009F0D65" w:rsidRPr="00B042F0">
        <w:rPr>
          <w:rFonts w:ascii="Calibri" w:hAnsi="Calibri"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B042F0" w:rsidTr="00CB6A2E">
        <w:tc>
          <w:tcPr>
            <w:tcW w:w="1999" w:type="dxa"/>
            <w:vAlign w:val="center"/>
          </w:tcPr>
          <w:p w:rsidR="00721F33" w:rsidRPr="00B042F0" w:rsidRDefault="00721F33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B042F0" w:rsidRDefault="00957BF7" w:rsidP="0089282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súmula foi lida e assinada pelo Coordenador.</w:t>
            </w:r>
          </w:p>
        </w:tc>
      </w:tr>
      <w:tr w:rsidR="00721F33" w:rsidRPr="00B042F0" w:rsidTr="00CB6A2E">
        <w:tc>
          <w:tcPr>
            <w:tcW w:w="1999" w:type="dxa"/>
            <w:vAlign w:val="center"/>
          </w:tcPr>
          <w:p w:rsidR="00721F33" w:rsidRPr="00B042F0" w:rsidRDefault="00721F33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B042F0" w:rsidRDefault="00957BF7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B26BCA" w:rsidRPr="00B042F0" w:rsidRDefault="00B26BCA" w:rsidP="00B042F0">
      <w:pPr>
        <w:pStyle w:val="PargrafodaLista"/>
        <w:spacing w:after="0" w:line="240" w:lineRule="auto"/>
        <w:rPr>
          <w:rFonts w:ascii="Calibri" w:hAnsi="Calibri" w:cs="Calibri"/>
          <w:b/>
        </w:rPr>
      </w:pPr>
    </w:p>
    <w:p w:rsidR="00A57332" w:rsidRPr="00B042F0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>Comunicações</w:t>
      </w:r>
      <w:r w:rsidR="009F0D65" w:rsidRPr="00B042F0">
        <w:rPr>
          <w:rFonts w:ascii="Calibri" w:hAnsi="Calibri"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B042F0" w:rsidTr="00D10625">
        <w:tc>
          <w:tcPr>
            <w:tcW w:w="1999" w:type="dxa"/>
            <w:vAlign w:val="center"/>
          </w:tcPr>
          <w:p w:rsidR="00E537E0" w:rsidRPr="00B042F0" w:rsidRDefault="00E537E0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23976" w:rsidRPr="00B042F0" w:rsidRDefault="0002555E" w:rsidP="0002555E">
            <w:pPr>
              <w:pStyle w:val="PargrafodaLista"/>
              <w:numPr>
                <w:ilvl w:val="0"/>
                <w:numId w:val="30"/>
              </w:numPr>
              <w:tabs>
                <w:tab w:val="left" w:pos="156"/>
              </w:tabs>
              <w:ind w:left="15" w:hanging="15"/>
              <w:jc w:val="both"/>
              <w:rPr>
                <w:rFonts w:ascii="Calibri" w:hAnsi="Calibri" w:cs="Calibri"/>
              </w:rPr>
            </w:pPr>
            <w:r w:rsidRPr="00DD2F9C">
              <w:rPr>
                <w:rFonts w:ascii="Calibri" w:hAnsi="Calibri" w:cs="Calibri"/>
              </w:rPr>
              <w:t>Nova Resolução sobre a consolidação dos processos éticos</w:t>
            </w:r>
            <w:r w:rsidRPr="0002555E">
              <w:rPr>
                <w:rFonts w:ascii="Calibri" w:hAnsi="Calibri" w:cs="Calibri"/>
                <w:b/>
              </w:rPr>
              <w:t>.</w:t>
            </w:r>
          </w:p>
        </w:tc>
      </w:tr>
      <w:tr w:rsidR="00E537E0" w:rsidRPr="00B042F0" w:rsidTr="00D10625">
        <w:tc>
          <w:tcPr>
            <w:tcW w:w="1999" w:type="dxa"/>
            <w:vAlign w:val="center"/>
          </w:tcPr>
          <w:p w:rsidR="00E537E0" w:rsidRPr="00B042F0" w:rsidRDefault="00E537E0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B042F0" w:rsidRDefault="00941E65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Secretaria Geral: pautar nos assuntos gerais.</w:t>
            </w:r>
          </w:p>
        </w:tc>
      </w:tr>
    </w:tbl>
    <w:p w:rsidR="00B26BCA" w:rsidRPr="00B042F0" w:rsidRDefault="00B26BCA" w:rsidP="00B042F0">
      <w:pPr>
        <w:pStyle w:val="PargrafodaLista"/>
        <w:spacing w:after="0" w:line="240" w:lineRule="auto"/>
        <w:rPr>
          <w:rFonts w:ascii="Calibri" w:hAnsi="Calibri" w:cs="Calibri"/>
          <w:b/>
        </w:rPr>
      </w:pPr>
    </w:p>
    <w:p w:rsidR="00E537E0" w:rsidRPr="00B042F0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>Ordem do dia</w:t>
      </w:r>
      <w:r w:rsidR="009F0D65" w:rsidRPr="00B042F0">
        <w:rPr>
          <w:rFonts w:ascii="Calibri" w:hAnsi="Calibri" w:cs="Calibri"/>
          <w:b/>
        </w:rPr>
        <w:t>.</w:t>
      </w:r>
    </w:p>
    <w:p w:rsidR="00622D8D" w:rsidRPr="006D21CC" w:rsidRDefault="00D10625" w:rsidP="006D21CC">
      <w:pPr>
        <w:pStyle w:val="PargrafodaLista"/>
        <w:shd w:val="clear" w:color="auto" w:fill="FFFFFF"/>
        <w:spacing w:after="0" w:line="240" w:lineRule="auto"/>
        <w:ind w:left="284"/>
        <w:jc w:val="both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 xml:space="preserve">5.1 </w:t>
      </w:r>
      <w:r w:rsidR="00FD4444">
        <w:rPr>
          <w:rFonts w:ascii="Calibri" w:hAnsi="Calibri" w:cs="Calibri"/>
          <w:b/>
        </w:rPr>
        <w:t>Acompanhamento do Plano de Ação: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7149B" w:rsidRPr="00B042F0" w:rsidTr="00231793">
        <w:tc>
          <w:tcPr>
            <w:tcW w:w="1999" w:type="dxa"/>
            <w:vAlign w:val="center"/>
          </w:tcPr>
          <w:p w:rsidR="0077149B" w:rsidRPr="00B042F0" w:rsidRDefault="0077149B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shd w:val="clear" w:color="auto" w:fill="auto"/>
            <w:vAlign w:val="center"/>
          </w:tcPr>
          <w:p w:rsidR="00622D8D" w:rsidRPr="00622D8D" w:rsidRDefault="00622D8D" w:rsidP="00622D8D">
            <w:pPr>
              <w:shd w:val="clear" w:color="auto" w:fill="FFFFFF"/>
              <w:tabs>
                <w:tab w:val="left" w:pos="284"/>
              </w:tabs>
              <w:jc w:val="both"/>
              <w:rPr>
                <w:b/>
              </w:rPr>
            </w:pPr>
            <w:r w:rsidRPr="00622D8D">
              <w:rPr>
                <w:b/>
              </w:rPr>
              <w:t>5.1 Levantamento das palestras realizadas e das previstas no Encontros CAU/RS, com mapeamento das cidades que não foram contempladas:</w:t>
            </w:r>
          </w:p>
          <w:p w:rsidR="00FA6EE6" w:rsidRDefault="00941E65" w:rsidP="00DD39C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Assistente Administrativa Bianca e a </w:t>
            </w:r>
            <w:r w:rsidR="00447500">
              <w:rPr>
                <w:rFonts w:ascii="Calibri" w:hAnsi="Calibri" w:cs="Calibri"/>
              </w:rPr>
              <w:t xml:space="preserve">Arq. </w:t>
            </w:r>
            <w:proofErr w:type="gramStart"/>
            <w:r w:rsidR="00447500">
              <w:rPr>
                <w:rFonts w:ascii="Calibri" w:hAnsi="Calibri" w:cs="Calibri"/>
              </w:rPr>
              <w:t>e</w:t>
            </w:r>
            <w:proofErr w:type="gramEnd"/>
            <w:r w:rsidR="00447500">
              <w:rPr>
                <w:rFonts w:ascii="Calibri" w:hAnsi="Calibri" w:cs="Calibri"/>
              </w:rPr>
              <w:t xml:space="preserve"> Urb. Raquel </w:t>
            </w:r>
            <w:r>
              <w:rPr>
                <w:rFonts w:ascii="Calibri" w:hAnsi="Calibri" w:cs="Calibri"/>
              </w:rPr>
              <w:t xml:space="preserve">apresentam o mapa </w:t>
            </w:r>
            <w:r w:rsidR="006D21CC">
              <w:rPr>
                <w:rFonts w:ascii="Calibri" w:hAnsi="Calibri" w:cs="Calibri"/>
              </w:rPr>
              <w:t xml:space="preserve">comparativo </w:t>
            </w:r>
            <w:r>
              <w:rPr>
                <w:rFonts w:ascii="Calibri" w:hAnsi="Calibri" w:cs="Calibri"/>
              </w:rPr>
              <w:t xml:space="preserve">com as informações das cidades </w:t>
            </w:r>
            <w:r w:rsidR="006D21CC">
              <w:rPr>
                <w:rFonts w:ascii="Calibri" w:hAnsi="Calibri" w:cs="Calibri"/>
              </w:rPr>
              <w:t xml:space="preserve">em que o Encontros CAU/RS esteve presente e que há Instituições de Ensino Superior com a oferta do curso de Arquitetura e Urbanismo. Além disso, o mapa mostra as IES em que a CED/RS já palestrou. </w:t>
            </w:r>
          </w:p>
          <w:p w:rsidR="00622D8D" w:rsidRDefault="00941E65" w:rsidP="00DD39C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 </w:t>
            </w:r>
            <w:r w:rsidR="006D21CC">
              <w:rPr>
                <w:rFonts w:ascii="Calibri" w:hAnsi="Calibri" w:cs="Calibri"/>
              </w:rPr>
              <w:t xml:space="preserve">Cons. </w:t>
            </w:r>
            <w:r>
              <w:rPr>
                <w:rFonts w:ascii="Calibri" w:hAnsi="Calibri" w:cs="Calibri"/>
              </w:rPr>
              <w:t xml:space="preserve">Rui </w:t>
            </w:r>
            <w:r w:rsidR="006D21CC">
              <w:rPr>
                <w:rFonts w:ascii="Calibri" w:hAnsi="Calibri" w:cs="Calibri"/>
              </w:rPr>
              <w:t xml:space="preserve">Mineiro </w:t>
            </w:r>
            <w:r>
              <w:rPr>
                <w:rFonts w:ascii="Calibri" w:hAnsi="Calibri" w:cs="Calibri"/>
              </w:rPr>
              <w:t>propõe que no dia 02/08</w:t>
            </w:r>
            <w:r w:rsidR="000643BB">
              <w:rPr>
                <w:rFonts w:ascii="Calibri" w:hAnsi="Calibri" w:cs="Calibri"/>
              </w:rPr>
              <w:t xml:space="preserve"> seja feita a palestra na URI Erechim, visto que o Encontros CAU/RS será nos dias 03 e 04</w:t>
            </w:r>
            <w:r w:rsidR="006D21CC">
              <w:rPr>
                <w:rFonts w:ascii="Calibri" w:hAnsi="Calibri" w:cs="Calibri"/>
              </w:rPr>
              <w:t>/07</w:t>
            </w:r>
            <w:r w:rsidR="000643BB">
              <w:rPr>
                <w:rFonts w:ascii="Calibri" w:hAnsi="Calibri" w:cs="Calibri"/>
              </w:rPr>
              <w:t xml:space="preserve"> em Passo Fundo. Os demais Conselheiros presentes concordam com a preposição e confirmam a participação dos Cons.  Marcelo Maia e Rui Mineiro.</w:t>
            </w:r>
            <w:r w:rsidR="006D21CC">
              <w:rPr>
                <w:rFonts w:ascii="Calibri" w:hAnsi="Calibri" w:cs="Calibri"/>
              </w:rPr>
              <w:t xml:space="preserve"> </w:t>
            </w:r>
            <w:r w:rsidR="000643BB">
              <w:rPr>
                <w:rFonts w:ascii="Calibri" w:hAnsi="Calibri" w:cs="Calibri"/>
              </w:rPr>
              <w:t xml:space="preserve">Os Conselheiros pedem que </w:t>
            </w:r>
            <w:r w:rsidR="000643BB">
              <w:rPr>
                <w:rFonts w:ascii="Calibri" w:hAnsi="Calibri" w:cs="Calibri"/>
              </w:rPr>
              <w:lastRenderedPageBreak/>
              <w:t xml:space="preserve">a palestra seja </w:t>
            </w:r>
            <w:r w:rsidR="006D21CC">
              <w:rPr>
                <w:rFonts w:ascii="Calibri" w:hAnsi="Calibri" w:cs="Calibri"/>
              </w:rPr>
              <w:t xml:space="preserve">agendada </w:t>
            </w:r>
            <w:r w:rsidR="000643BB">
              <w:rPr>
                <w:rFonts w:ascii="Calibri" w:hAnsi="Calibri" w:cs="Calibri"/>
              </w:rPr>
              <w:t xml:space="preserve">para o dia 10/08 com a presença dos </w:t>
            </w:r>
            <w:r w:rsidR="006D21CC">
              <w:rPr>
                <w:rFonts w:ascii="Calibri" w:hAnsi="Calibri" w:cs="Calibri"/>
              </w:rPr>
              <w:t>respectivos conselheiros.</w:t>
            </w:r>
          </w:p>
          <w:p w:rsidR="00622D8D" w:rsidRPr="00622D8D" w:rsidRDefault="00622D8D" w:rsidP="00622D8D">
            <w:pPr>
              <w:shd w:val="clear" w:color="auto" w:fill="FFFFFF"/>
              <w:tabs>
                <w:tab w:val="left" w:pos="284"/>
              </w:tabs>
              <w:jc w:val="both"/>
              <w:rPr>
                <w:b/>
              </w:rPr>
            </w:pPr>
            <w:bookmarkStart w:id="0" w:name="_GoBack"/>
            <w:bookmarkEnd w:id="0"/>
            <w:r w:rsidRPr="00622D8D">
              <w:rPr>
                <w:b/>
              </w:rPr>
              <w:t>5.2 Retorno dos agendamentos junto às IES:</w:t>
            </w:r>
          </w:p>
          <w:p w:rsidR="000643BB" w:rsidRDefault="006D21CC" w:rsidP="00DD39C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Tema abordado no item 5.1.</w:t>
            </w:r>
          </w:p>
          <w:p w:rsidR="00622D8D" w:rsidRPr="00622D8D" w:rsidRDefault="00622D8D" w:rsidP="00622D8D">
            <w:pPr>
              <w:shd w:val="clear" w:color="auto" w:fill="FFFFFF"/>
              <w:tabs>
                <w:tab w:val="left" w:pos="284"/>
              </w:tabs>
              <w:jc w:val="both"/>
              <w:rPr>
                <w:b/>
              </w:rPr>
            </w:pPr>
            <w:r w:rsidRPr="00622D8D">
              <w:rPr>
                <w:b/>
              </w:rPr>
              <w:t>5.3 Informações referentes aos eventos da Comissão em julho:</w:t>
            </w:r>
          </w:p>
          <w:p w:rsidR="00622D8D" w:rsidRDefault="00A22D37" w:rsidP="00DD39C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Arq. </w:t>
            </w:r>
            <w:proofErr w:type="gramStart"/>
            <w:r>
              <w:rPr>
                <w:rFonts w:ascii="Calibri" w:hAnsi="Calibri" w:cs="Calibri"/>
              </w:rPr>
              <w:t>e</w:t>
            </w:r>
            <w:proofErr w:type="gramEnd"/>
            <w:r>
              <w:rPr>
                <w:rFonts w:ascii="Calibri" w:hAnsi="Calibri" w:cs="Calibri"/>
              </w:rPr>
              <w:t xml:space="preserve"> Urb. Raquel fala que o Seminário Regional em Tocantins está </w:t>
            </w:r>
            <w:r w:rsidR="006D21CC">
              <w:rPr>
                <w:rFonts w:ascii="Calibri" w:hAnsi="Calibri" w:cs="Calibri"/>
              </w:rPr>
              <w:t xml:space="preserve">confirmado pela CED-CAU/BR, bem como o Encontro das </w:t>
            </w:r>
            <w:proofErr w:type="spellStart"/>
            <w:r w:rsidR="006D21CC">
              <w:rPr>
                <w:rFonts w:ascii="Calibri" w:hAnsi="Calibri" w:cs="Calibri"/>
              </w:rPr>
              <w:t>CEDs</w:t>
            </w:r>
            <w:proofErr w:type="spellEnd"/>
            <w:r w:rsidR="006D21CC">
              <w:rPr>
                <w:rFonts w:ascii="Calibri" w:hAnsi="Calibri" w:cs="Calibri"/>
              </w:rPr>
              <w:t xml:space="preserve">-SUL, dias 20 e 21/07, do qual participarão os </w:t>
            </w:r>
            <w:r>
              <w:rPr>
                <w:rFonts w:ascii="Calibri" w:hAnsi="Calibri" w:cs="Calibri"/>
              </w:rPr>
              <w:t>Marcelo Maia e Rui Mineiro.</w:t>
            </w:r>
          </w:p>
          <w:p w:rsidR="00A22D37" w:rsidRDefault="006D21CC" w:rsidP="00DD39C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Informa que o Treinamento Técnico, a se realizar em Brasília, está agendado para o dia 06/08</w:t>
            </w:r>
            <w:r w:rsidR="00A22D37">
              <w:rPr>
                <w:rFonts w:ascii="Calibri" w:hAnsi="Calibri" w:cs="Calibri"/>
              </w:rPr>
              <w:t>.</w:t>
            </w:r>
          </w:p>
          <w:p w:rsidR="00622D8D" w:rsidRPr="00622D8D" w:rsidRDefault="00622D8D" w:rsidP="00231793">
            <w:pPr>
              <w:tabs>
                <w:tab w:val="left" w:pos="284"/>
              </w:tabs>
              <w:jc w:val="both"/>
              <w:rPr>
                <w:b/>
              </w:rPr>
            </w:pPr>
            <w:r w:rsidRPr="00231793">
              <w:rPr>
                <w:b/>
              </w:rPr>
              <w:t>5.4 Informações referentes às novas funcionalidades do Módulo Ético do SICCAU:</w:t>
            </w:r>
          </w:p>
          <w:p w:rsidR="00622D8D" w:rsidRDefault="00882193" w:rsidP="00DD39C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 Coordenador explica que </w:t>
            </w:r>
            <w:proofErr w:type="gramStart"/>
            <w:r>
              <w:rPr>
                <w:rFonts w:ascii="Calibri" w:hAnsi="Calibri" w:cs="Calibri"/>
              </w:rPr>
              <w:t>o arquivamento dos processos éticos oriundos do CREA/RS</w:t>
            </w:r>
            <w:r w:rsidR="00EE65B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passarão</w:t>
            </w:r>
            <w:proofErr w:type="gramEnd"/>
            <w:r>
              <w:rPr>
                <w:rFonts w:ascii="Calibri" w:hAnsi="Calibri" w:cs="Calibri"/>
              </w:rPr>
              <w:t xml:space="preserve"> para o Plenário para homologação, bem como devem ser registrados no Módulo de Ética no SICCAU. </w:t>
            </w:r>
            <w:r w:rsidR="00EE65B1">
              <w:rPr>
                <w:rFonts w:ascii="Calibri" w:hAnsi="Calibri" w:cs="Calibri"/>
              </w:rPr>
              <w:t xml:space="preserve">A Gerente </w:t>
            </w:r>
            <w:proofErr w:type="spellStart"/>
            <w:r w:rsidR="00EE65B1">
              <w:rPr>
                <w:rFonts w:ascii="Calibri" w:hAnsi="Calibri" w:cs="Calibri"/>
              </w:rPr>
              <w:t>Maríndia</w:t>
            </w:r>
            <w:proofErr w:type="spellEnd"/>
            <w:r w:rsidR="00EE65B1">
              <w:rPr>
                <w:rFonts w:ascii="Calibri" w:hAnsi="Calibri" w:cs="Calibri"/>
              </w:rPr>
              <w:t xml:space="preserve"> questiona a Comissão se os processos arquivados pelo CREA/RS precisam ser incluídos no Módulo de Ética. Em resposta, a Comissão explica que esses processos já estão transitados em julgado no CREA/RS e, por esse motivo, não há necessidade de inclusão.</w:t>
            </w:r>
          </w:p>
          <w:p w:rsidR="00EE65B1" w:rsidRDefault="00EE65B1" w:rsidP="00DD39CC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Arq. </w:t>
            </w:r>
            <w:proofErr w:type="gramStart"/>
            <w:r>
              <w:rPr>
                <w:rFonts w:ascii="Calibri" w:hAnsi="Calibri" w:cs="Calibri"/>
              </w:rPr>
              <w:t>e</w:t>
            </w:r>
            <w:proofErr w:type="gramEnd"/>
            <w:r>
              <w:rPr>
                <w:rFonts w:ascii="Calibri" w:hAnsi="Calibri" w:cs="Calibri"/>
              </w:rPr>
              <w:t xml:space="preserve"> Urb. Raquel entende que esses processos devem ser inclusos para fins de histórico e reincidência, se houver. O Coordenados fala que se o profissional está reabilitado após o prazo estabelecido pela Lei, não cabe ao Conselho considerar o julgamento.</w:t>
            </w:r>
          </w:p>
          <w:p w:rsidR="00622D8D" w:rsidRPr="00DD39CC" w:rsidRDefault="00EE65B1" w:rsidP="00EE65B1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Comissão conclui que não há essa necessidade.</w:t>
            </w:r>
          </w:p>
        </w:tc>
      </w:tr>
      <w:tr w:rsidR="0077149B" w:rsidRPr="00B042F0" w:rsidTr="0032368B">
        <w:tc>
          <w:tcPr>
            <w:tcW w:w="1999" w:type="dxa"/>
            <w:vAlign w:val="center"/>
          </w:tcPr>
          <w:p w:rsidR="0077149B" w:rsidRPr="00EE65B1" w:rsidRDefault="0077149B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EE65B1">
              <w:rPr>
                <w:rFonts w:ascii="Calibri" w:hAnsi="Calibri"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77149B" w:rsidRPr="00EE65B1" w:rsidRDefault="00EE65B1" w:rsidP="00754C9F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 w:rsidRPr="00EE65B1">
              <w:rPr>
                <w:rFonts w:ascii="Calibri" w:hAnsi="Calibri" w:cs="Calibri"/>
              </w:rPr>
              <w:t>GETEC – Bianca: contatar com as IES para o agendamento das palestras.</w:t>
            </w:r>
          </w:p>
        </w:tc>
      </w:tr>
    </w:tbl>
    <w:p w:rsidR="0077149B" w:rsidRDefault="0077149B" w:rsidP="00B042F0">
      <w:pPr>
        <w:pStyle w:val="PargrafodaLista"/>
        <w:shd w:val="clear" w:color="auto" w:fill="FFFFFF"/>
        <w:spacing w:after="0" w:line="240" w:lineRule="auto"/>
        <w:ind w:firstLine="414"/>
        <w:jc w:val="both"/>
        <w:rPr>
          <w:rFonts w:ascii="Calibri" w:hAnsi="Calibri" w:cs="Calibri"/>
          <w:b/>
        </w:rPr>
      </w:pPr>
    </w:p>
    <w:p w:rsidR="00FD4444" w:rsidRPr="00FD4444" w:rsidRDefault="00FD4444" w:rsidP="00FD4444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Análise de processos</w:t>
      </w:r>
      <w:r w:rsidRPr="00FD4444">
        <w:rPr>
          <w:rFonts w:ascii="Calibri" w:hAnsi="Calibri" w:cs="Calibri"/>
          <w:b/>
        </w:rPr>
        <w:t>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4444" w:rsidRPr="00B042F0" w:rsidTr="00FF52E7">
        <w:tc>
          <w:tcPr>
            <w:tcW w:w="1985" w:type="dxa"/>
            <w:vAlign w:val="center"/>
          </w:tcPr>
          <w:p w:rsidR="00FD4444" w:rsidRPr="00B042F0" w:rsidRDefault="00FD4444" w:rsidP="00FF52E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2779CF" w:rsidRDefault="002779CF" w:rsidP="002779CF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  <w:r>
              <w:rPr>
                <w:rFonts w:eastAsia="Times New Roman"/>
                <w:bCs/>
                <w:color w:val="000000"/>
                <w:u w:val="single"/>
                <w:lang w:eastAsia="pt-BR"/>
              </w:rPr>
              <w:t>Juízos</w:t>
            </w:r>
            <w:r w:rsidRPr="00054939"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 de Admissibilidade:</w:t>
            </w:r>
          </w:p>
          <w:p w:rsidR="002779CF" w:rsidRDefault="002779CF" w:rsidP="002779CF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>
              <w:rPr>
                <w:rFonts w:eastAsia="Times New Roman"/>
                <w:bCs/>
                <w:color w:val="000000"/>
                <w:lang w:eastAsia="pt-BR"/>
              </w:rPr>
              <w:t xml:space="preserve">O </w:t>
            </w:r>
            <w:r>
              <w:rPr>
                <w:rFonts w:eastAsia="Times New Roman"/>
                <w:bCs/>
                <w:color w:val="000000"/>
                <w:lang w:eastAsia="pt-BR"/>
              </w:rPr>
              <w:t>Coordenador solicitou o aguardo da publicação da nova</w:t>
            </w:r>
            <w:r>
              <w:rPr>
                <w:rFonts w:eastAsia="Times New Roman"/>
                <w:bCs/>
                <w:color w:val="000000"/>
                <w:lang w:eastAsia="pt-BR"/>
              </w:rPr>
              <w:t xml:space="preserve"> R</w:t>
            </w:r>
            <w:r>
              <w:rPr>
                <w:rFonts w:eastAsia="Times New Roman"/>
                <w:bCs/>
                <w:color w:val="000000"/>
                <w:lang w:eastAsia="pt-BR"/>
              </w:rPr>
              <w:t>esolução</w:t>
            </w:r>
            <w:r>
              <w:rPr>
                <w:rFonts w:eastAsia="Times New Roman"/>
                <w:bCs/>
                <w:color w:val="000000"/>
                <w:lang w:eastAsia="pt-BR"/>
              </w:rPr>
              <w:t xml:space="preserve"> CAU/BR, </w:t>
            </w:r>
            <w:r>
              <w:rPr>
                <w:rFonts w:eastAsia="Times New Roman"/>
                <w:bCs/>
                <w:color w:val="000000"/>
                <w:lang w:eastAsia="pt-BR"/>
              </w:rPr>
              <w:t>que tratará sobre as normas de condução dos processos ético-disciplinares</w:t>
            </w:r>
            <w:r>
              <w:rPr>
                <w:rFonts w:eastAsia="Times New Roman"/>
                <w:bCs/>
                <w:color w:val="000000"/>
                <w:lang w:eastAsia="pt-BR"/>
              </w:rPr>
              <w:t xml:space="preserve"> para então</w:t>
            </w:r>
            <w:r>
              <w:rPr>
                <w:rFonts w:eastAsia="Times New Roman"/>
                <w:bCs/>
                <w:color w:val="000000"/>
                <w:lang w:eastAsia="pt-BR"/>
              </w:rPr>
              <w:t xml:space="preserve"> realizar o juízo de admissibilidade das denúncias.</w:t>
            </w:r>
          </w:p>
          <w:p w:rsidR="002779CF" w:rsidRDefault="002779CF" w:rsidP="002779CF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  <w:p w:rsidR="002779CF" w:rsidRPr="00F606BA" w:rsidRDefault="002779CF" w:rsidP="002779CF">
            <w:pPr>
              <w:shd w:val="clear" w:color="auto" w:fill="FFFFFF"/>
              <w:tabs>
                <w:tab w:val="left" w:pos="204"/>
              </w:tabs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>Para Análise do Coord. Conselheiro Marcelo Maia:</w:t>
            </w:r>
          </w:p>
          <w:p w:rsidR="002779CF" w:rsidRDefault="002779CF" w:rsidP="002779C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</w:pPr>
            <w:r>
              <w:t>Processo nº 55016/2013 – Assinado termo de arquivamento do processo. Finalizar processo no módulo ético do SICCAU.</w:t>
            </w:r>
          </w:p>
          <w:p w:rsidR="002779CF" w:rsidRDefault="002779CF" w:rsidP="002779C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</w:pPr>
            <w:r>
              <w:t>Denúncia nº 10085/2016 - Protocolo nº 451144/2016 - Assinado termo de arquivamento da denúncia. Desativar denúncia e arquivar protocolo no SICCAU.</w:t>
            </w:r>
          </w:p>
          <w:p w:rsidR="002779CF" w:rsidRDefault="002779CF" w:rsidP="002779C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</w:pPr>
            <w:r>
              <w:t>Denúncia nº 6338/2015 - Protocolo nº 405752/2016 - Assinado termo de arquivamento da denúncia. Desativar denúncia e arquivar protocolo no SICCAU.</w:t>
            </w:r>
          </w:p>
          <w:p w:rsidR="002779CF" w:rsidRDefault="002779CF" w:rsidP="002779C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</w:pPr>
            <w:r>
              <w:t>D</w:t>
            </w:r>
            <w:r>
              <w:t>enúncia nº 7731/2015 - Protocolo nº 412705/2016 - Assinado termo de arquivamento da denúncia. Desativar denúncia e arquivar protocolo no SICCAU.</w:t>
            </w:r>
          </w:p>
          <w:p w:rsidR="002779CF" w:rsidRDefault="002779CF" w:rsidP="002779C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</w:pPr>
            <w:r>
              <w:t>Denúncia nº 8156/2016 – Protocolo nº 431882/2016 - Assinado termo de arquivamento da denúncia. Desativar denúncia e arquivar protocolo no SICCAU.</w:t>
            </w:r>
          </w:p>
          <w:p w:rsidR="002779CF" w:rsidRDefault="002779CF" w:rsidP="002779C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</w:pPr>
            <w:r>
              <w:t>Processo nº 204282/2014 – processo foi analisado pelo relator.</w:t>
            </w:r>
          </w:p>
          <w:p w:rsidR="002779CF" w:rsidRDefault="002779CF" w:rsidP="002779C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</w:pPr>
            <w:r>
              <w:t>Processo nº 65334/2013 – processo foi analisado pelo relator.</w:t>
            </w:r>
          </w:p>
          <w:p w:rsidR="002779CF" w:rsidRDefault="002779CF" w:rsidP="002779C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</w:pPr>
            <w:r>
              <w:t>Protocolo nº 531044/2017 – Coordenador deferiu o pedido do denunciado pela prorrogação do prazo para apresentação de manifestação prévia. Comunicar o denunciado por telefone e/ou e-mail.</w:t>
            </w:r>
          </w:p>
          <w:p w:rsidR="002779CF" w:rsidRDefault="002779CF" w:rsidP="002779CF">
            <w:pPr>
              <w:shd w:val="clear" w:color="auto" w:fill="FFFFFF"/>
              <w:tabs>
                <w:tab w:val="left" w:pos="204"/>
              </w:tabs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</w:p>
          <w:p w:rsidR="002779CF" w:rsidRPr="00F606BA" w:rsidRDefault="002779CF" w:rsidP="002779CF">
            <w:pPr>
              <w:shd w:val="clear" w:color="auto" w:fill="FFFFFF"/>
              <w:tabs>
                <w:tab w:val="left" w:pos="204"/>
              </w:tabs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lastRenderedPageBreak/>
              <w:t xml:space="preserve">Para Análise do </w:t>
            </w:r>
            <w:r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Relator </w:t>
            </w: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>Cons. Rui Mineiro:</w:t>
            </w:r>
          </w:p>
          <w:p w:rsidR="002779CF" w:rsidRDefault="002779CF" w:rsidP="002779C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2779CF">
              <w:rPr>
                <w:rFonts w:eastAsia="Times New Roman"/>
                <w:bCs/>
                <w:color w:val="000000"/>
                <w:lang w:eastAsia="pt-BR"/>
              </w:rPr>
              <w:t xml:space="preserve">Denúncia nº 7735/2015 - Protocolo nº 490108/2017 – reagendada audiência de conciliação para 14/08/2017, às 10:00 h. Enviar ofício às partes. </w:t>
            </w:r>
          </w:p>
          <w:p w:rsidR="002779CF" w:rsidRDefault="002779CF" w:rsidP="002779C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2779CF">
              <w:rPr>
                <w:rFonts w:eastAsia="Times New Roman"/>
                <w:bCs/>
                <w:color w:val="000000"/>
                <w:lang w:eastAsia="pt-BR"/>
              </w:rPr>
              <w:t>Denúncia nº 6968/2015 – Protocolo nº 412645/2016 – assinado relatório, parecer e deliberação pela inadmissão da denúncia, uma vez que houve conciliação exitosa. Enviar ofício às partes.</w:t>
            </w:r>
          </w:p>
          <w:p w:rsidR="002779CF" w:rsidRPr="002779CF" w:rsidRDefault="002779CF" w:rsidP="002779C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2779CF">
              <w:rPr>
                <w:rFonts w:eastAsia="Times New Roman"/>
                <w:bCs/>
                <w:color w:val="000000"/>
                <w:lang w:eastAsia="pt-BR"/>
              </w:rPr>
              <w:t>Processo nº 158813/2014 – relator levou o processo em carga, para fins de elaboração do relatório e parecer.</w:t>
            </w:r>
          </w:p>
          <w:p w:rsidR="002779CF" w:rsidRDefault="002779CF" w:rsidP="002779CF">
            <w:pPr>
              <w:shd w:val="clear" w:color="auto" w:fill="FFFFFF"/>
              <w:tabs>
                <w:tab w:val="left" w:pos="204"/>
              </w:tabs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</w:p>
          <w:p w:rsidR="002779CF" w:rsidRPr="00F606BA" w:rsidRDefault="002779CF" w:rsidP="002779CF">
            <w:pPr>
              <w:shd w:val="clear" w:color="auto" w:fill="FFFFFF"/>
              <w:tabs>
                <w:tab w:val="left" w:pos="204"/>
              </w:tabs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Para Análise do </w:t>
            </w:r>
            <w:r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Relator </w:t>
            </w: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 xml:space="preserve">Cons. </w:t>
            </w:r>
            <w:r>
              <w:rPr>
                <w:rFonts w:eastAsia="Times New Roman"/>
                <w:bCs/>
                <w:color w:val="000000"/>
                <w:u w:val="single"/>
                <w:lang w:eastAsia="pt-BR"/>
              </w:rPr>
              <w:t>Márcio Lontra</w:t>
            </w:r>
            <w:r w:rsidRPr="00F606BA">
              <w:rPr>
                <w:rFonts w:eastAsia="Times New Roman"/>
                <w:bCs/>
                <w:color w:val="000000"/>
                <w:u w:val="single"/>
                <w:lang w:eastAsia="pt-BR"/>
              </w:rPr>
              <w:t>:</w:t>
            </w:r>
          </w:p>
          <w:p w:rsidR="002779CF" w:rsidRPr="002779CF" w:rsidRDefault="002779CF" w:rsidP="002779C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2779CF">
              <w:rPr>
                <w:rFonts w:eastAsia="Times New Roman"/>
                <w:bCs/>
                <w:color w:val="000000"/>
                <w:lang w:eastAsia="pt-BR"/>
              </w:rPr>
              <w:t>Processo nº 224570/2015 - reagendada audiência de conciliação para 09/10/2017, às 10:00 h. Enviar ofício às partes.</w:t>
            </w:r>
          </w:p>
          <w:p w:rsidR="002779CF" w:rsidRDefault="002779CF" w:rsidP="002779C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2779CF">
              <w:rPr>
                <w:rFonts w:eastAsia="Times New Roman"/>
                <w:bCs/>
                <w:color w:val="000000"/>
                <w:lang w:eastAsia="pt-BR"/>
              </w:rPr>
              <w:t>Processo nº 245110/2015 – relator realizou despacho no processo, assinado pela Comissão, solicitando envio de ofício de provas finais às partes.</w:t>
            </w:r>
          </w:p>
          <w:p w:rsidR="002779CF" w:rsidRPr="000C4A0A" w:rsidRDefault="002779CF" w:rsidP="002779CF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2779CF">
              <w:rPr>
                <w:rFonts w:eastAsia="Times New Roman"/>
                <w:bCs/>
                <w:color w:val="000000"/>
                <w:lang w:eastAsia="pt-BR"/>
              </w:rPr>
              <w:t>Processo nº 412459/2016 – agendada audiência de instrução para 25/08/2017, às 14:30 h. Enviar ofício às partes.</w:t>
            </w:r>
          </w:p>
        </w:tc>
      </w:tr>
      <w:tr w:rsidR="00FD4444" w:rsidRPr="00B042F0" w:rsidTr="00FF52E7">
        <w:tc>
          <w:tcPr>
            <w:tcW w:w="1985" w:type="dxa"/>
            <w:vAlign w:val="center"/>
          </w:tcPr>
          <w:p w:rsidR="00FD4444" w:rsidRPr="00B042F0" w:rsidRDefault="00FD4444" w:rsidP="00FF52E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lastRenderedPageBreak/>
              <w:t>Encaminhamento:</w:t>
            </w:r>
          </w:p>
        </w:tc>
        <w:tc>
          <w:tcPr>
            <w:tcW w:w="7371" w:type="dxa"/>
            <w:vAlign w:val="center"/>
          </w:tcPr>
          <w:p w:rsidR="00FD4444" w:rsidRPr="00B042F0" w:rsidRDefault="002779CF" w:rsidP="00FF52E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FD4444" w:rsidRDefault="00FD4444" w:rsidP="00FD4444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FD4444" w:rsidRPr="00FD4444" w:rsidRDefault="00FD4444" w:rsidP="00FD4444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Pauta para a próxima reunião</w:t>
      </w:r>
      <w:r w:rsidRPr="00FD4444">
        <w:rPr>
          <w:rFonts w:ascii="Calibri" w:hAnsi="Calibri" w:cs="Calibri"/>
          <w:b/>
        </w:rPr>
        <w:t>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4444" w:rsidRPr="00B042F0" w:rsidTr="00FF52E7">
        <w:tc>
          <w:tcPr>
            <w:tcW w:w="1985" w:type="dxa"/>
            <w:vAlign w:val="center"/>
          </w:tcPr>
          <w:p w:rsidR="00FD4444" w:rsidRPr="00B042F0" w:rsidRDefault="00FD4444" w:rsidP="00FF52E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165B42" w:rsidRDefault="004459C5" w:rsidP="00FF560E">
            <w:pPr>
              <w:pStyle w:val="PargrafodaLista"/>
              <w:numPr>
                <w:ilvl w:val="0"/>
                <w:numId w:val="30"/>
              </w:numPr>
              <w:tabs>
                <w:tab w:val="left" w:pos="204"/>
              </w:tabs>
              <w:ind w:left="62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Retorno sobre o evento de Tocanti</w:t>
            </w:r>
            <w:r w:rsidR="00EF38D9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s</w:t>
            </w:r>
            <w:r w:rsidR="00FF560E">
              <w:rPr>
                <w:rFonts w:ascii="Calibri" w:hAnsi="Calibri" w:cs="Calibri"/>
              </w:rPr>
              <w:t>;</w:t>
            </w:r>
          </w:p>
          <w:p w:rsidR="004459C5" w:rsidRPr="00B042F0" w:rsidRDefault="00FF560E" w:rsidP="00FF560E">
            <w:pPr>
              <w:pStyle w:val="PargrafodaLista"/>
              <w:numPr>
                <w:ilvl w:val="0"/>
                <w:numId w:val="30"/>
              </w:numPr>
              <w:tabs>
                <w:tab w:val="left" w:pos="204"/>
              </w:tabs>
              <w:ind w:left="62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Retorno sobre o evento.</w:t>
            </w:r>
          </w:p>
        </w:tc>
      </w:tr>
    </w:tbl>
    <w:p w:rsidR="00FD4444" w:rsidRPr="00B042F0" w:rsidRDefault="00FD4444" w:rsidP="00B042F0">
      <w:pPr>
        <w:pStyle w:val="PargrafodaLista"/>
        <w:shd w:val="clear" w:color="auto" w:fill="FFFFFF"/>
        <w:spacing w:after="0" w:line="240" w:lineRule="auto"/>
        <w:ind w:firstLine="414"/>
        <w:jc w:val="both"/>
        <w:rPr>
          <w:rFonts w:ascii="Calibri" w:hAnsi="Calibri" w:cs="Calibri"/>
          <w:b/>
        </w:rPr>
      </w:pPr>
    </w:p>
    <w:p w:rsidR="009E3B40" w:rsidRPr="00896444" w:rsidRDefault="009E3B40" w:rsidP="00FD4444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</w:rPr>
      </w:pPr>
      <w:r w:rsidRPr="00896444">
        <w:rPr>
          <w:rFonts w:ascii="Calibri" w:hAnsi="Calibri" w:cs="Calibri"/>
          <w:b/>
        </w:rPr>
        <w:t>Assuntos gerais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E3B40" w:rsidRPr="00B042F0" w:rsidTr="000C3141">
        <w:tc>
          <w:tcPr>
            <w:tcW w:w="1985" w:type="dxa"/>
            <w:vAlign w:val="center"/>
          </w:tcPr>
          <w:p w:rsidR="009E3B40" w:rsidRPr="00B042F0" w:rsidRDefault="009E3B40" w:rsidP="000C3141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23976" w:rsidRPr="00423976" w:rsidRDefault="00423976" w:rsidP="00423976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</w:rPr>
            </w:pPr>
            <w:r w:rsidRPr="00423976">
              <w:rPr>
                <w:rFonts w:ascii="Calibri" w:hAnsi="Calibri" w:cs="Calibri"/>
                <w:b/>
              </w:rPr>
              <w:t>8.1 Resolução sobre a consolidação das resoluções de instruções de processos éticos-disciplinares:</w:t>
            </w:r>
          </w:p>
          <w:p w:rsidR="00567EDE" w:rsidRDefault="00423976" w:rsidP="0044750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 Cons. Marcelo comunica que foi aprovada </w:t>
            </w:r>
            <w:r w:rsidR="00447500">
              <w:rPr>
                <w:rFonts w:ascii="Calibri" w:hAnsi="Calibri" w:cs="Calibri"/>
              </w:rPr>
              <w:t xml:space="preserve">pala CED-CAU/BR </w:t>
            </w:r>
            <w:r>
              <w:rPr>
                <w:rFonts w:ascii="Calibri" w:hAnsi="Calibri" w:cs="Calibri"/>
              </w:rPr>
              <w:t>a Deliberação da consolidação das resoluções de instruç</w:t>
            </w:r>
            <w:r w:rsidR="00447500">
              <w:rPr>
                <w:rFonts w:ascii="Calibri" w:hAnsi="Calibri" w:cs="Calibri"/>
              </w:rPr>
              <w:t>ão</w:t>
            </w:r>
            <w:r>
              <w:rPr>
                <w:rFonts w:ascii="Calibri" w:hAnsi="Calibri" w:cs="Calibri"/>
              </w:rPr>
              <w:t xml:space="preserve"> de processos éticos. O Coordenador pede que o Assiste</w:t>
            </w:r>
            <w:r w:rsidR="00447500">
              <w:rPr>
                <w:rFonts w:ascii="Calibri" w:hAnsi="Calibri" w:cs="Calibri"/>
              </w:rPr>
              <w:t>nte</w:t>
            </w:r>
            <w:r>
              <w:rPr>
                <w:rFonts w:ascii="Calibri" w:hAnsi="Calibri" w:cs="Calibri"/>
              </w:rPr>
              <w:t xml:space="preserve"> Administrativo Eduardo verifique se a Resolução já foi aprovada.</w:t>
            </w:r>
            <w:r w:rsidR="002779C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Fala que a Cons. Federal Gislaine Saibro informou que há um entendimento errado quanto à reabilitação</w:t>
            </w:r>
            <w:r w:rsidR="00447500">
              <w:rPr>
                <w:rFonts w:ascii="Calibri" w:hAnsi="Calibri" w:cs="Calibri"/>
              </w:rPr>
              <w:t xml:space="preserve"> do profissional após a sanção resultante do processo ético</w:t>
            </w:r>
            <w:r>
              <w:rPr>
                <w:rFonts w:ascii="Calibri" w:hAnsi="Calibri" w:cs="Calibri"/>
              </w:rPr>
              <w:t xml:space="preserve">, sendo que inicialmente deveria ser 05 anos e passou a ser </w:t>
            </w:r>
            <w:r w:rsidR="00447500">
              <w:rPr>
                <w:rFonts w:ascii="Calibri" w:hAnsi="Calibri" w:cs="Calibri"/>
              </w:rPr>
              <w:t xml:space="preserve">de </w:t>
            </w:r>
            <w:r>
              <w:rPr>
                <w:rFonts w:ascii="Calibri" w:hAnsi="Calibri" w:cs="Calibri"/>
              </w:rPr>
              <w:t>03 anos. Após esse período, ao retirar uma certidão negativa de antecedentes éticos, não haverá mais anotação</w:t>
            </w:r>
            <w:r w:rsidR="00447500">
              <w:rPr>
                <w:rFonts w:ascii="Calibri" w:hAnsi="Calibri" w:cs="Calibri"/>
              </w:rPr>
              <w:t xml:space="preserve"> no registro do profissional</w:t>
            </w:r>
            <w:r>
              <w:rPr>
                <w:rFonts w:ascii="Calibri" w:hAnsi="Calibri" w:cs="Calibri"/>
              </w:rPr>
              <w:t>. Diz que</w:t>
            </w:r>
            <w:r w:rsidR="00447500">
              <w:rPr>
                <w:rFonts w:ascii="Calibri" w:hAnsi="Calibri" w:cs="Calibri"/>
              </w:rPr>
              <w:t xml:space="preserve"> pela nova Deliberação, </w:t>
            </w:r>
            <w:r>
              <w:rPr>
                <w:rFonts w:ascii="Calibri" w:hAnsi="Calibri" w:cs="Calibri"/>
              </w:rPr>
              <w:t xml:space="preserve">ao se reabilitar, o profissional deve fazer um curso, </w:t>
            </w:r>
            <w:r w:rsidR="00447500">
              <w:rPr>
                <w:rFonts w:ascii="Calibri" w:hAnsi="Calibri" w:cs="Calibri"/>
              </w:rPr>
              <w:t>que deve ser elaborado e ministrado pelo CAU/UF</w:t>
            </w:r>
            <w:r>
              <w:rPr>
                <w:rFonts w:ascii="Calibri" w:hAnsi="Calibri" w:cs="Calibri"/>
              </w:rPr>
              <w:t>.</w:t>
            </w:r>
            <w:r w:rsidR="0044750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O Cons. Marcelo </w:t>
            </w:r>
            <w:r w:rsidR="00447500">
              <w:rPr>
                <w:rFonts w:ascii="Calibri" w:hAnsi="Calibri" w:cs="Calibri"/>
              </w:rPr>
              <w:t xml:space="preserve">orienta a equipe técnica para que </w:t>
            </w:r>
            <w:r>
              <w:rPr>
                <w:rFonts w:ascii="Calibri" w:hAnsi="Calibri" w:cs="Calibri"/>
              </w:rPr>
              <w:t>as denúncias novas já sigam o novo fluxo</w:t>
            </w:r>
            <w:r w:rsidR="00447500">
              <w:rPr>
                <w:rFonts w:ascii="Calibri" w:hAnsi="Calibri" w:cs="Calibri"/>
              </w:rPr>
              <w:t xml:space="preserve">, mas fala que </w:t>
            </w:r>
            <w:r>
              <w:rPr>
                <w:rFonts w:ascii="Calibri" w:hAnsi="Calibri" w:cs="Calibri"/>
              </w:rPr>
              <w:t>essa situação será levantada na reunião nacional em Tocantins.</w:t>
            </w:r>
          </w:p>
          <w:p w:rsidR="00447500" w:rsidRDefault="000643BB" w:rsidP="000643BB">
            <w:pPr>
              <w:jc w:val="both"/>
              <w:rPr>
                <w:rFonts w:ascii="Calibri" w:hAnsi="Calibri" w:cs="Calibri"/>
              </w:rPr>
            </w:pPr>
            <w:r w:rsidRPr="00A22D37">
              <w:rPr>
                <w:rFonts w:ascii="Calibri" w:hAnsi="Calibri" w:cs="Calibri"/>
                <w:b/>
              </w:rPr>
              <w:t xml:space="preserve">8.2 Treinamento do novo módulo do SICCAU: </w:t>
            </w:r>
            <w:r w:rsidR="00447500">
              <w:rPr>
                <w:rFonts w:ascii="Calibri" w:hAnsi="Calibri" w:cs="Calibri"/>
              </w:rPr>
              <w:t xml:space="preserve">A </w:t>
            </w:r>
            <w:r w:rsidR="00447500">
              <w:rPr>
                <w:rFonts w:ascii="Calibri" w:hAnsi="Calibri" w:cs="Calibri"/>
              </w:rPr>
              <w:t xml:space="preserve">Arq. </w:t>
            </w:r>
            <w:proofErr w:type="gramStart"/>
            <w:r w:rsidR="00447500">
              <w:rPr>
                <w:rFonts w:ascii="Calibri" w:hAnsi="Calibri" w:cs="Calibri"/>
              </w:rPr>
              <w:t>e</w:t>
            </w:r>
            <w:proofErr w:type="gramEnd"/>
            <w:r w:rsidR="00447500">
              <w:rPr>
                <w:rFonts w:ascii="Calibri" w:hAnsi="Calibri" w:cs="Calibri"/>
              </w:rPr>
              <w:t xml:space="preserve"> Urb. Raquel</w:t>
            </w:r>
            <w:r w:rsidR="0044750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confirm</w:t>
            </w:r>
            <w:r w:rsidR="00447500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as datas do treinamento da CED-CAU/BR, agendado para </w:t>
            </w:r>
            <w:r w:rsidR="00447500">
              <w:rPr>
                <w:rFonts w:ascii="Calibri" w:hAnsi="Calibri" w:cs="Calibri"/>
              </w:rPr>
              <w:t xml:space="preserve">os dias </w:t>
            </w:r>
            <w:r>
              <w:rPr>
                <w:rFonts w:ascii="Calibri" w:hAnsi="Calibri" w:cs="Calibri"/>
              </w:rPr>
              <w:t xml:space="preserve">24 e 25/07. </w:t>
            </w:r>
            <w:r w:rsidR="00447500">
              <w:rPr>
                <w:rFonts w:ascii="Calibri" w:hAnsi="Calibri" w:cs="Calibri"/>
              </w:rPr>
              <w:t xml:space="preserve">Considerando que no dia 25/07 está agendada Sessão Plenária, a </w:t>
            </w:r>
            <w:r>
              <w:rPr>
                <w:rFonts w:ascii="Calibri" w:hAnsi="Calibri" w:cs="Calibri"/>
              </w:rPr>
              <w:t xml:space="preserve">Comissão </w:t>
            </w:r>
            <w:r w:rsidR="00447500">
              <w:rPr>
                <w:rFonts w:ascii="Calibri" w:hAnsi="Calibri" w:cs="Calibri"/>
              </w:rPr>
              <w:t>decidirá</w:t>
            </w:r>
            <w:r>
              <w:rPr>
                <w:rFonts w:ascii="Calibri" w:hAnsi="Calibri" w:cs="Calibri"/>
              </w:rPr>
              <w:t xml:space="preserve"> quem </w:t>
            </w:r>
            <w:r w:rsidR="00447500">
              <w:rPr>
                <w:rFonts w:ascii="Calibri" w:hAnsi="Calibri" w:cs="Calibri"/>
              </w:rPr>
              <w:t>participará d</w:t>
            </w:r>
            <w:r>
              <w:rPr>
                <w:rFonts w:ascii="Calibri" w:hAnsi="Calibri" w:cs="Calibri"/>
              </w:rPr>
              <w:t>o Treinamento.</w:t>
            </w:r>
            <w:r w:rsidR="00447500">
              <w:rPr>
                <w:rFonts w:ascii="Calibri" w:hAnsi="Calibri" w:cs="Calibri"/>
              </w:rPr>
              <w:t xml:space="preserve"> </w:t>
            </w:r>
          </w:p>
          <w:p w:rsidR="0039030D" w:rsidRDefault="0039030D" w:rsidP="000643BB">
            <w:pPr>
              <w:jc w:val="both"/>
              <w:rPr>
                <w:rFonts w:ascii="Calibri" w:hAnsi="Calibri" w:cs="Calibri"/>
                <w:b/>
              </w:rPr>
            </w:pPr>
            <w:r w:rsidRPr="00447500">
              <w:rPr>
                <w:rFonts w:ascii="Calibri" w:hAnsi="Calibri" w:cs="Calibri"/>
                <w:b/>
              </w:rPr>
              <w:t xml:space="preserve">8.3 Férias </w:t>
            </w:r>
            <w:r w:rsidR="00447500">
              <w:rPr>
                <w:rFonts w:ascii="Calibri" w:hAnsi="Calibri" w:cs="Calibri"/>
                <w:b/>
              </w:rPr>
              <w:t xml:space="preserve">da Gerente Técnica </w:t>
            </w:r>
            <w:proofErr w:type="spellStart"/>
            <w:r w:rsidRPr="00447500">
              <w:rPr>
                <w:rFonts w:ascii="Calibri" w:hAnsi="Calibri" w:cs="Calibri"/>
                <w:b/>
              </w:rPr>
              <w:t>Maríndia</w:t>
            </w:r>
            <w:proofErr w:type="spellEnd"/>
            <w:r w:rsidRPr="00447500">
              <w:rPr>
                <w:rFonts w:ascii="Calibri" w:hAnsi="Calibri" w:cs="Calibri"/>
                <w:b/>
              </w:rPr>
              <w:t>:</w:t>
            </w:r>
          </w:p>
          <w:p w:rsidR="00423976" w:rsidRPr="00567EDE" w:rsidRDefault="00447500" w:rsidP="00723F1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39030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G</w:t>
            </w:r>
            <w:r w:rsidR="0039030D">
              <w:rPr>
                <w:rFonts w:ascii="Calibri" w:hAnsi="Calibri" w:cs="Calibri"/>
              </w:rPr>
              <w:t xml:space="preserve">erente </w:t>
            </w:r>
            <w:r>
              <w:rPr>
                <w:rFonts w:ascii="Calibri" w:hAnsi="Calibri" w:cs="Calibri"/>
              </w:rPr>
              <w:t xml:space="preserve">Técnica </w:t>
            </w:r>
            <w:proofErr w:type="spellStart"/>
            <w:r w:rsidR="0039030D">
              <w:rPr>
                <w:rFonts w:ascii="Calibri" w:hAnsi="Calibri" w:cs="Calibri"/>
              </w:rPr>
              <w:t>Maríndia</w:t>
            </w:r>
            <w:proofErr w:type="spellEnd"/>
            <w:r w:rsidR="0039030D">
              <w:rPr>
                <w:rFonts w:ascii="Calibri" w:hAnsi="Calibri" w:cs="Calibri"/>
              </w:rPr>
              <w:t xml:space="preserve"> informa que sairá de férias nos próximos dias e que a </w:t>
            </w:r>
            <w:r>
              <w:rPr>
                <w:rFonts w:ascii="Calibri" w:hAnsi="Calibri" w:cs="Calibri"/>
              </w:rPr>
              <w:t xml:space="preserve">Arq. </w:t>
            </w:r>
            <w:proofErr w:type="gramStart"/>
            <w:r>
              <w:rPr>
                <w:rFonts w:ascii="Calibri" w:hAnsi="Calibri" w:cs="Calibri"/>
              </w:rPr>
              <w:t>e</w:t>
            </w:r>
            <w:proofErr w:type="gramEnd"/>
            <w:r>
              <w:rPr>
                <w:rFonts w:ascii="Calibri" w:hAnsi="Calibri" w:cs="Calibri"/>
              </w:rPr>
              <w:t xml:space="preserve"> Urb. </w:t>
            </w:r>
            <w:r w:rsidR="0039030D">
              <w:rPr>
                <w:rFonts w:ascii="Calibri" w:hAnsi="Calibri" w:cs="Calibri"/>
              </w:rPr>
              <w:t>Raquel a substituirá</w:t>
            </w:r>
            <w:r>
              <w:rPr>
                <w:rFonts w:ascii="Calibri" w:hAnsi="Calibri" w:cs="Calibri"/>
              </w:rPr>
              <w:t xml:space="preserve"> durante esse per</w:t>
            </w:r>
            <w:r w:rsidR="00723F19">
              <w:rPr>
                <w:rFonts w:ascii="Calibri" w:hAnsi="Calibri" w:cs="Calibri"/>
              </w:rPr>
              <w:t xml:space="preserve">íodo. A </w:t>
            </w:r>
            <w:r>
              <w:rPr>
                <w:rFonts w:ascii="Calibri" w:hAnsi="Calibri" w:cs="Calibri"/>
              </w:rPr>
              <w:t>respeito do encaminhamento dos processos para a Comissão, a substituta se dedicará aos processos oriundos do CREA, visto que tem maior familiaridade</w:t>
            </w:r>
            <w:r w:rsidR="0039030D">
              <w:rPr>
                <w:rFonts w:ascii="Calibri" w:hAnsi="Calibri" w:cs="Calibri"/>
              </w:rPr>
              <w:t>.</w:t>
            </w:r>
          </w:p>
        </w:tc>
      </w:tr>
      <w:tr w:rsidR="00423976" w:rsidRPr="00B042F0" w:rsidTr="000C3141">
        <w:tc>
          <w:tcPr>
            <w:tcW w:w="1985" w:type="dxa"/>
            <w:vAlign w:val="center"/>
          </w:tcPr>
          <w:p w:rsidR="00423976" w:rsidRPr="00B042F0" w:rsidRDefault="00423976" w:rsidP="00423976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47500" w:rsidRDefault="00423976" w:rsidP="00423976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 w:rsidRPr="00423976">
              <w:rPr>
                <w:rFonts w:ascii="Calibri" w:hAnsi="Calibri" w:cs="Calibri"/>
                <w:b/>
              </w:rPr>
              <w:t>GETEC – Assistente Administrativo Eduardo:</w:t>
            </w:r>
            <w:r>
              <w:rPr>
                <w:rFonts w:ascii="Calibri" w:hAnsi="Calibri" w:cs="Calibri"/>
              </w:rPr>
              <w:t xml:space="preserve"> </w:t>
            </w:r>
          </w:p>
          <w:p w:rsidR="00423976" w:rsidRDefault="00447500" w:rsidP="00423976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 Comissão solicita ao Assistente Eduardo que verifique a publicação da Resolução sobre a consolidação da instrução dos processos ético-disciplinares.</w:t>
            </w:r>
          </w:p>
          <w:p w:rsidR="00A22D37" w:rsidRPr="00B042F0" w:rsidRDefault="00A22D37" w:rsidP="00423976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 w:rsidRPr="00447500">
              <w:rPr>
                <w:rFonts w:ascii="Calibri" w:hAnsi="Calibri" w:cs="Calibri"/>
                <w:b/>
              </w:rPr>
              <w:t xml:space="preserve">GETEC – Arq. </w:t>
            </w:r>
            <w:proofErr w:type="gramStart"/>
            <w:r w:rsidRPr="00447500">
              <w:rPr>
                <w:rFonts w:ascii="Calibri" w:hAnsi="Calibri" w:cs="Calibri"/>
                <w:b/>
              </w:rPr>
              <w:t>e</w:t>
            </w:r>
            <w:proofErr w:type="gramEnd"/>
            <w:r w:rsidRPr="00447500">
              <w:rPr>
                <w:rFonts w:ascii="Calibri" w:hAnsi="Calibri" w:cs="Calibri"/>
                <w:b/>
              </w:rPr>
              <w:t xml:space="preserve"> Urb. Raquel:</w:t>
            </w:r>
            <w:r>
              <w:rPr>
                <w:rFonts w:ascii="Calibri" w:hAnsi="Calibri" w:cs="Calibri"/>
              </w:rPr>
              <w:t xml:space="preserve"> confirmar a data do treinamento sobre o novo módulo do SICCAU.</w:t>
            </w:r>
          </w:p>
        </w:tc>
      </w:tr>
    </w:tbl>
    <w:p w:rsidR="00A43211" w:rsidRDefault="00A43211" w:rsidP="000C4A0A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A43211" w:rsidRDefault="00A43211" w:rsidP="000C4A0A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6F3755" w:rsidRPr="00E96F96" w:rsidRDefault="00A43211" w:rsidP="000C4A0A">
      <w:pPr>
        <w:suppressLineNumbers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Marcelo Petrucci Maia</w:t>
      </w:r>
    </w:p>
    <w:p w:rsidR="002779CF" w:rsidRDefault="00120632" w:rsidP="002779CF">
      <w:pPr>
        <w:suppressLineNumbers/>
        <w:spacing w:after="0" w:line="240" w:lineRule="auto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 xml:space="preserve">de </w:t>
      </w:r>
      <w:r w:rsidR="00A43211">
        <w:rPr>
          <w:rFonts w:cs="Times New Roman"/>
          <w:b/>
        </w:rPr>
        <w:t>Ética e Disciplina</w:t>
      </w:r>
    </w:p>
    <w:sectPr w:rsidR="002779CF" w:rsidSect="000C4A0A">
      <w:headerReference w:type="default" r:id="rId8"/>
      <w:footerReference w:type="default" r:id="rId9"/>
      <w:pgSz w:w="11906" w:h="16838"/>
      <w:pgMar w:top="1702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3C" w:rsidRDefault="00386F3C" w:rsidP="001C5BED">
      <w:pPr>
        <w:spacing w:after="0" w:line="240" w:lineRule="auto"/>
      </w:pPr>
      <w:r>
        <w:separator/>
      </w:r>
    </w:p>
  </w:endnote>
  <w:end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319843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 w:rsidRPr="000C4A0A">
          <w:rPr>
            <w:sz w:val="18"/>
            <w:szCs w:val="18"/>
          </w:rPr>
          <w:fldChar w:fldCharType="begin"/>
        </w:r>
        <w:r w:rsidRPr="000C4A0A">
          <w:rPr>
            <w:sz w:val="18"/>
            <w:szCs w:val="18"/>
          </w:rPr>
          <w:instrText>PAGE   \* MERGEFORMAT</w:instrText>
        </w:r>
        <w:r w:rsidRPr="000C4A0A">
          <w:rPr>
            <w:sz w:val="18"/>
            <w:szCs w:val="18"/>
          </w:rPr>
          <w:fldChar w:fldCharType="separate"/>
        </w:r>
        <w:r w:rsidR="00EE65B1">
          <w:rPr>
            <w:noProof/>
            <w:sz w:val="18"/>
            <w:szCs w:val="18"/>
          </w:rPr>
          <w:t>2</w:t>
        </w:r>
        <w:r w:rsidRPr="000C4A0A">
          <w:rPr>
            <w:sz w:val="18"/>
            <w:szCs w:val="18"/>
          </w:rP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256597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3C" w:rsidRDefault="00386F3C" w:rsidP="001C5BED">
      <w:pPr>
        <w:spacing w:after="0" w:line="240" w:lineRule="auto"/>
      </w:pPr>
      <w:r>
        <w:separator/>
      </w:r>
    </w:p>
  </w:footnote>
  <w:foot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095A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61B83"/>
    <w:multiLevelType w:val="hybridMultilevel"/>
    <w:tmpl w:val="CBC4A574"/>
    <w:lvl w:ilvl="0" w:tplc="121E7B4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915AE5"/>
    <w:multiLevelType w:val="hybridMultilevel"/>
    <w:tmpl w:val="B008C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BD17F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5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7" w15:restartNumberingAfterBreak="0">
    <w:nsid w:val="7A6430B3"/>
    <w:multiLevelType w:val="hybridMultilevel"/>
    <w:tmpl w:val="A132AA68"/>
    <w:lvl w:ilvl="0" w:tplc="5426A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2"/>
  </w:num>
  <w:num w:numId="4">
    <w:abstractNumId w:val="21"/>
  </w:num>
  <w:num w:numId="5">
    <w:abstractNumId w:val="28"/>
  </w:num>
  <w:num w:numId="6">
    <w:abstractNumId w:val="25"/>
  </w:num>
  <w:num w:numId="7">
    <w:abstractNumId w:val="6"/>
  </w:num>
  <w:num w:numId="8">
    <w:abstractNumId w:val="17"/>
  </w:num>
  <w:num w:numId="9">
    <w:abstractNumId w:val="18"/>
  </w:num>
  <w:num w:numId="10">
    <w:abstractNumId w:val="26"/>
  </w:num>
  <w:num w:numId="11">
    <w:abstractNumId w:val="5"/>
  </w:num>
  <w:num w:numId="12">
    <w:abstractNumId w:val="13"/>
  </w:num>
  <w:num w:numId="13">
    <w:abstractNumId w:val="20"/>
  </w:num>
  <w:num w:numId="14">
    <w:abstractNumId w:val="22"/>
  </w:num>
  <w:num w:numId="15">
    <w:abstractNumId w:val="3"/>
  </w:num>
  <w:num w:numId="16">
    <w:abstractNumId w:val="0"/>
  </w:num>
  <w:num w:numId="17">
    <w:abstractNumId w:val="8"/>
  </w:num>
  <w:num w:numId="18">
    <w:abstractNumId w:val="23"/>
  </w:num>
  <w:num w:numId="19">
    <w:abstractNumId w:val="15"/>
  </w:num>
  <w:num w:numId="20">
    <w:abstractNumId w:val="4"/>
  </w:num>
  <w:num w:numId="21">
    <w:abstractNumId w:val="11"/>
  </w:num>
  <w:num w:numId="22">
    <w:abstractNumId w:val="9"/>
  </w:num>
  <w:num w:numId="23">
    <w:abstractNumId w:val="12"/>
  </w:num>
  <w:num w:numId="24">
    <w:abstractNumId w:val="10"/>
  </w:num>
  <w:num w:numId="25">
    <w:abstractNumId w:val="29"/>
  </w:num>
  <w:num w:numId="26">
    <w:abstractNumId w:val="27"/>
  </w:num>
  <w:num w:numId="27">
    <w:abstractNumId w:val="1"/>
  </w:num>
  <w:num w:numId="28">
    <w:abstractNumId w:val="19"/>
  </w:num>
  <w:num w:numId="29">
    <w:abstractNumId w:val="16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81D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555E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0269"/>
    <w:rsid w:val="000531DC"/>
    <w:rsid w:val="00055FD9"/>
    <w:rsid w:val="00056F81"/>
    <w:rsid w:val="00057446"/>
    <w:rsid w:val="0005750A"/>
    <w:rsid w:val="000610D7"/>
    <w:rsid w:val="00063FE5"/>
    <w:rsid w:val="000643BB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4A0A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B42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29F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1F7639"/>
    <w:rsid w:val="00200912"/>
    <w:rsid w:val="00201E9B"/>
    <w:rsid w:val="00202D21"/>
    <w:rsid w:val="00203743"/>
    <w:rsid w:val="00203D88"/>
    <w:rsid w:val="00204766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793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779CF"/>
    <w:rsid w:val="00280976"/>
    <w:rsid w:val="002816F5"/>
    <w:rsid w:val="0028282A"/>
    <w:rsid w:val="00283634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357F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368B"/>
    <w:rsid w:val="00323E9D"/>
    <w:rsid w:val="00327864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ADC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86F3C"/>
    <w:rsid w:val="0039030D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0F7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E7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397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59C5"/>
    <w:rsid w:val="004469EC"/>
    <w:rsid w:val="00446A60"/>
    <w:rsid w:val="00446CDC"/>
    <w:rsid w:val="00447500"/>
    <w:rsid w:val="00447A20"/>
    <w:rsid w:val="0045023A"/>
    <w:rsid w:val="00450AF9"/>
    <w:rsid w:val="00451D98"/>
    <w:rsid w:val="00452203"/>
    <w:rsid w:val="00452A37"/>
    <w:rsid w:val="00454598"/>
    <w:rsid w:val="00455CE5"/>
    <w:rsid w:val="0045617D"/>
    <w:rsid w:val="004563FD"/>
    <w:rsid w:val="00456E05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1E"/>
    <w:rsid w:val="0049393A"/>
    <w:rsid w:val="004A0D83"/>
    <w:rsid w:val="004A26E8"/>
    <w:rsid w:val="004A2ECA"/>
    <w:rsid w:val="004A4208"/>
    <w:rsid w:val="004A431E"/>
    <w:rsid w:val="004A436F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14B"/>
    <w:rsid w:val="004D5214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18A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1B00"/>
    <w:rsid w:val="00552864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67EDE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45"/>
    <w:rsid w:val="005A04EB"/>
    <w:rsid w:val="005A0618"/>
    <w:rsid w:val="005A0621"/>
    <w:rsid w:val="005A0AE4"/>
    <w:rsid w:val="005A0CB8"/>
    <w:rsid w:val="005A1129"/>
    <w:rsid w:val="005A1390"/>
    <w:rsid w:val="005A1F26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2D8D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4F2C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1CC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70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3F19"/>
    <w:rsid w:val="00724E5E"/>
    <w:rsid w:val="007266C2"/>
    <w:rsid w:val="00727CD8"/>
    <w:rsid w:val="00731C39"/>
    <w:rsid w:val="00733B94"/>
    <w:rsid w:val="007349D3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060E"/>
    <w:rsid w:val="007520B2"/>
    <w:rsid w:val="00752A31"/>
    <w:rsid w:val="007530C2"/>
    <w:rsid w:val="00753125"/>
    <w:rsid w:val="007537CD"/>
    <w:rsid w:val="007543F6"/>
    <w:rsid w:val="00754B62"/>
    <w:rsid w:val="00754C9F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149B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120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097"/>
    <w:rsid w:val="008425F3"/>
    <w:rsid w:val="008431C7"/>
    <w:rsid w:val="00843309"/>
    <w:rsid w:val="0084333D"/>
    <w:rsid w:val="008438A0"/>
    <w:rsid w:val="0084470F"/>
    <w:rsid w:val="00844DD1"/>
    <w:rsid w:val="008473F7"/>
    <w:rsid w:val="008520DE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82193"/>
    <w:rsid w:val="00891190"/>
    <w:rsid w:val="0089119B"/>
    <w:rsid w:val="00892820"/>
    <w:rsid w:val="00892A22"/>
    <w:rsid w:val="008930A7"/>
    <w:rsid w:val="00894C27"/>
    <w:rsid w:val="008961FE"/>
    <w:rsid w:val="00896444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B738E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540"/>
    <w:rsid w:val="008E0E00"/>
    <w:rsid w:val="008E1943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1E65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7BF7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2EA3"/>
    <w:rsid w:val="009E3B40"/>
    <w:rsid w:val="009E3F02"/>
    <w:rsid w:val="009E45D6"/>
    <w:rsid w:val="009E4F12"/>
    <w:rsid w:val="009E57FC"/>
    <w:rsid w:val="009E593A"/>
    <w:rsid w:val="009E6058"/>
    <w:rsid w:val="009F0D65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D37"/>
    <w:rsid w:val="00A22F9F"/>
    <w:rsid w:val="00A328B4"/>
    <w:rsid w:val="00A346F7"/>
    <w:rsid w:val="00A34B51"/>
    <w:rsid w:val="00A36CBD"/>
    <w:rsid w:val="00A40194"/>
    <w:rsid w:val="00A4093F"/>
    <w:rsid w:val="00A43211"/>
    <w:rsid w:val="00A43EA0"/>
    <w:rsid w:val="00A449F1"/>
    <w:rsid w:val="00A466B1"/>
    <w:rsid w:val="00A4732C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30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AF7942"/>
    <w:rsid w:val="00B0033E"/>
    <w:rsid w:val="00B00CF3"/>
    <w:rsid w:val="00B01352"/>
    <w:rsid w:val="00B03919"/>
    <w:rsid w:val="00B042F0"/>
    <w:rsid w:val="00B04BA3"/>
    <w:rsid w:val="00B05939"/>
    <w:rsid w:val="00B07033"/>
    <w:rsid w:val="00B10765"/>
    <w:rsid w:val="00B10A5E"/>
    <w:rsid w:val="00B10C79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734"/>
    <w:rsid w:val="00B52B8C"/>
    <w:rsid w:val="00B536A3"/>
    <w:rsid w:val="00B54D00"/>
    <w:rsid w:val="00B550E7"/>
    <w:rsid w:val="00B552D3"/>
    <w:rsid w:val="00B567B7"/>
    <w:rsid w:val="00B56824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384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DB7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BCD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B6A2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6CAC"/>
    <w:rsid w:val="00D07348"/>
    <w:rsid w:val="00D106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5EFA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1CE7"/>
    <w:rsid w:val="00DC507F"/>
    <w:rsid w:val="00DC61D0"/>
    <w:rsid w:val="00DC6AE7"/>
    <w:rsid w:val="00DD071C"/>
    <w:rsid w:val="00DD1BE5"/>
    <w:rsid w:val="00DD2BC3"/>
    <w:rsid w:val="00DD2F9C"/>
    <w:rsid w:val="00DD39CC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4DCB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9A8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E65B1"/>
    <w:rsid w:val="00EF080C"/>
    <w:rsid w:val="00EF1F9E"/>
    <w:rsid w:val="00EF38D9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EE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444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60E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18E82-1BA8-48DF-952C-6445E9A1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7161</TotalTime>
  <Pages>4</Pages>
  <Words>1210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29</cp:revision>
  <cp:lastPrinted>2017-03-10T18:22:00Z</cp:lastPrinted>
  <dcterms:created xsi:type="dcterms:W3CDTF">2017-06-08T12:32:00Z</dcterms:created>
  <dcterms:modified xsi:type="dcterms:W3CDTF">2017-07-17T12:27:00Z</dcterms:modified>
</cp:coreProperties>
</file>