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6F5A88">
        <w:trPr>
          <w:trHeight w:val="412"/>
        </w:trPr>
        <w:tc>
          <w:tcPr>
            <w:tcW w:w="9333" w:type="dxa"/>
            <w:gridSpan w:val="8"/>
            <w:shd w:val="clear" w:color="auto" w:fill="D9D9D9" w:themeFill="background1" w:themeFillShade="D9"/>
            <w:vAlign w:val="center"/>
          </w:tcPr>
          <w:p w:rsidR="00020BC5" w:rsidRPr="009E47A2" w:rsidRDefault="004B41E6" w:rsidP="006F5A88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FC429D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FC429D">
              <w:rPr>
                <w:rFonts w:asciiTheme="majorHAnsi" w:hAnsiTheme="majorHAnsi" w:cs="Arial"/>
              </w:rPr>
              <w:t>13/07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B1165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Maia, Conselheiro</w:t>
            </w:r>
            <w:r w:rsidR="00EF576A">
              <w:rPr>
                <w:rFonts w:asciiTheme="majorHAnsi" w:hAnsiTheme="majorHAnsi" w:cs="Times New Roman"/>
              </w:rPr>
              <w:t>s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</w:t>
            </w:r>
            <w:proofErr w:type="spellStart"/>
            <w:r w:rsidR="00B11655">
              <w:rPr>
                <w:rFonts w:asciiTheme="majorHAnsi" w:hAnsiTheme="majorHAnsi" w:cs="Times New Roman"/>
              </w:rPr>
              <w:t>Efreu</w:t>
            </w:r>
            <w:proofErr w:type="spellEnd"/>
            <w:r w:rsidR="00B11655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B11655">
              <w:rPr>
                <w:rFonts w:asciiTheme="majorHAnsi" w:hAnsiTheme="majorHAnsi" w:cs="Times New Roman"/>
              </w:rPr>
              <w:t>Brignol</w:t>
            </w:r>
            <w:proofErr w:type="spellEnd"/>
            <w:r w:rsidR="00B11655">
              <w:rPr>
                <w:rFonts w:asciiTheme="majorHAnsi" w:hAnsiTheme="majorHAnsi" w:cs="Times New Roman"/>
              </w:rPr>
              <w:t xml:space="preserve"> Quintana</w:t>
            </w:r>
            <w:r w:rsidRPr="00117DD3">
              <w:rPr>
                <w:rFonts w:asciiTheme="majorHAnsi" w:hAnsiTheme="majorHAnsi" w:cs="Times New Roman"/>
              </w:rPr>
              <w:t>,</w:t>
            </w:r>
            <w:r w:rsidR="00EF576A">
              <w:rPr>
                <w:rFonts w:asciiTheme="majorHAnsi" w:hAnsiTheme="majorHAnsi" w:cs="Times New Roman"/>
              </w:rPr>
              <w:t xml:space="preserve"> o </w:t>
            </w:r>
            <w:r w:rsidR="00D1604B">
              <w:rPr>
                <w:rFonts w:asciiTheme="majorHAnsi" w:hAnsiTheme="majorHAnsi" w:cs="Times New Roman"/>
              </w:rPr>
              <w:t>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D1604B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D1604B">
              <w:rPr>
                <w:rFonts w:asciiTheme="majorHAnsi" w:hAnsiTheme="majorHAnsi" w:cs="Times New Roman"/>
              </w:rPr>
              <w:t>Secretária Executiva Carla Regina Dal Lago Valério</w:t>
            </w:r>
            <w:r w:rsidR="00A43C99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0A58D1" w:rsidP="00FC429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Aprovação da súmula da 4</w:t>
            </w:r>
            <w:r w:rsidR="00FC429D">
              <w:rPr>
                <w:rFonts w:asciiTheme="majorHAnsi" w:eastAsia="Times New Roman" w:hAnsiTheme="majorHAnsi"/>
                <w:b/>
                <w:color w:val="000000"/>
              </w:rPr>
              <w:t>3</w:t>
            </w:r>
            <w:r w:rsidR="00F3150B" w:rsidRPr="00F3150B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117DD3" w:rsidRDefault="00B11655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 Tendo em vista que o Cons. Márcio Gomes Lontra não está presente nesta reunião, a súmula será assinada por ele na próxima reunião da Comissão.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B11655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B11655" w:rsidRDefault="00B11655" w:rsidP="00B11655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11655">
              <w:rPr>
                <w:rFonts w:asciiTheme="majorHAnsi" w:hAnsiTheme="majorHAnsi" w:cs="Times New Roman"/>
                <w:b/>
              </w:rPr>
              <w:t>Audiência de Conciliação ref</w:t>
            </w:r>
            <w:r>
              <w:rPr>
                <w:rFonts w:asciiTheme="majorHAnsi" w:hAnsiTheme="majorHAnsi" w:cs="Times New Roman"/>
                <w:b/>
              </w:rPr>
              <w:t>e</w:t>
            </w:r>
            <w:r w:rsidRPr="00B11655">
              <w:rPr>
                <w:rFonts w:asciiTheme="majorHAnsi" w:hAnsiTheme="majorHAnsi" w:cs="Times New Roman"/>
                <w:b/>
              </w:rPr>
              <w:t>rente ao processo nº</w:t>
            </w:r>
            <w:r w:rsidR="00D669BC">
              <w:rPr>
                <w:rFonts w:asciiTheme="majorHAnsi" w:hAnsiTheme="majorHAnsi" w:cs="Times New Roman"/>
                <w:b/>
              </w:rPr>
              <w:t xml:space="preserve"> </w:t>
            </w:r>
            <w:r w:rsidRPr="00B11655">
              <w:rPr>
                <w:rFonts w:asciiTheme="majorHAnsi" w:hAnsiTheme="majorHAnsi" w:cs="Times New Roman"/>
                <w:b/>
              </w:rPr>
              <w:t>2026/2013: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920A27" w:rsidRPr="00690433" w:rsidRDefault="00D669BC" w:rsidP="007E7BF5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audiência ocorreu somente com a presença da denunciante, visto que a denunciada informou nesta data a impossibilidade de presença, </w:t>
            </w:r>
            <w:r w:rsidR="007E7BF5">
              <w:rPr>
                <w:rFonts w:asciiTheme="majorHAnsi" w:eastAsia="Times New Roman" w:hAnsiTheme="majorHAnsi" w:cs="Times New Roman"/>
                <w:color w:val="000000"/>
              </w:rPr>
              <w:t xml:space="preserve">pois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mora em Maringá</w:t>
            </w:r>
            <w:r w:rsidR="007E7BF5">
              <w:rPr>
                <w:rFonts w:asciiTheme="majorHAnsi" w:eastAsia="Times New Roman" w:hAnsiTheme="majorHAnsi" w:cs="Times New Roman"/>
                <w:color w:val="000000"/>
              </w:rPr>
              <w:t>/PR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. Fica registrado, a pedido do Coordenador da Comissão, que a denunciada confirmou presença por duas vezes.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  <w:bookmarkStart w:id="0" w:name="_GoBack"/>
            <w:bookmarkEnd w:id="0"/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B11655" w:rsidP="00B11655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Aplicação de advertência reservada referente ao processo nº </w:t>
            </w:r>
            <w:r w:rsidR="005D4368">
              <w:rPr>
                <w:rFonts w:asciiTheme="majorHAnsi" w:hAnsiTheme="majorHAnsi" w:cs="Times New Roman"/>
                <w:b/>
              </w:rPr>
              <w:t>55954/2013:</w:t>
            </w:r>
          </w:p>
        </w:tc>
      </w:tr>
      <w:tr w:rsidR="0001754E" w:rsidRPr="00F3150B" w:rsidTr="0083584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DC0A49" w:rsidRDefault="003F4F37" w:rsidP="009B43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aplicação de advertência não foi realizada</w:t>
            </w:r>
            <w:r w:rsidR="009B43E9">
              <w:rPr>
                <w:rFonts w:asciiTheme="majorHAnsi" w:eastAsia="Times New Roman" w:hAnsiTheme="majorHAnsi" w:cs="Times New Roman"/>
                <w:color w:val="000000"/>
              </w:rPr>
              <w:t xml:space="preserve">, pois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a denunciada não compareceu. A mesma confirmou, por duas vezes (conforme e-mails em anexo), mas nesta data ligou informando que não comparecerá por residir em Maringá.</w:t>
            </w:r>
          </w:p>
          <w:p w:rsidR="003F4F37" w:rsidRPr="00193A77" w:rsidRDefault="003F4F37" w:rsidP="009B43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Como encaminhamento, a Comissão soli</w:t>
            </w:r>
            <w:r w:rsidR="009B43E9">
              <w:rPr>
                <w:rFonts w:asciiTheme="majorHAnsi" w:eastAsia="Times New Roman" w:hAnsiTheme="majorHAnsi" w:cs="Times New Roman"/>
                <w:color w:val="000000"/>
              </w:rPr>
              <w:t>cita que seja agendada nova audiência de advertência na 1ª reunião de agosto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, através de ofício com AR</w:t>
            </w:r>
            <w:r w:rsidR="009B43E9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9B43E9">
              <w:rPr>
                <w:rFonts w:asciiTheme="majorHAnsi" w:eastAsia="Times New Roman" w:hAnsiTheme="majorHAnsi" w:cs="Times New Roman"/>
                <w:color w:val="000000"/>
              </w:rPr>
              <w:t xml:space="preserve">informando que,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em caso de não comparecimento</w:t>
            </w:r>
            <w:r w:rsidR="009B43E9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estará sujeita às sanções cabíveis.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3F4F37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Maia.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5AB" w:rsidRPr="00117DD3" w:rsidRDefault="003F4F37" w:rsidP="003955A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Notificar a denunciada através de ofício sobre a data da nova conciliação.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3F4F37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Santos.</w:t>
            </w:r>
          </w:p>
        </w:tc>
      </w:tr>
      <w:tr w:rsidR="00403F91" w:rsidRPr="00B11655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B11655" w:rsidRDefault="00B11655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11655"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403F91" w:rsidRPr="00B11655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11655" w:rsidRPr="008E31A6" w:rsidRDefault="00B11655" w:rsidP="009B43E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/>
                <w:b/>
              </w:rPr>
            </w:pPr>
            <w:r w:rsidRPr="008E31A6">
              <w:rPr>
                <w:rFonts w:asciiTheme="majorHAnsi" w:eastAsia="Times New Roman" w:hAnsiTheme="majorHAnsi"/>
                <w:b/>
                <w:color w:val="000000"/>
              </w:rPr>
              <w:t xml:space="preserve">Admissão: </w:t>
            </w:r>
          </w:p>
          <w:p w:rsidR="00B11655" w:rsidRPr="00B11655" w:rsidRDefault="00B11655" w:rsidP="009B43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275631/2015:</w:t>
            </w:r>
            <w:r w:rsidR="008E31A6">
              <w:rPr>
                <w:rFonts w:asciiTheme="majorHAnsi" w:hAnsiTheme="majorHAnsi"/>
              </w:rPr>
              <w:t xml:space="preserve"> admitido e despachado para providências.</w:t>
            </w:r>
          </w:p>
          <w:p w:rsidR="003F4F37" w:rsidRPr="00B11655" w:rsidRDefault="00B11655" w:rsidP="009B43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276380/2015:</w:t>
            </w:r>
            <w:r w:rsidR="003F4F37">
              <w:rPr>
                <w:rFonts w:asciiTheme="majorHAnsi" w:hAnsiTheme="majorHAnsi"/>
              </w:rPr>
              <w:t xml:space="preserve"> admitido e despachado para providências.</w:t>
            </w:r>
          </w:p>
          <w:p w:rsidR="003F4F37" w:rsidRPr="00B11655" w:rsidRDefault="00B11655" w:rsidP="009B43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275632/2015:</w:t>
            </w:r>
            <w:r w:rsidR="003F4F37">
              <w:rPr>
                <w:rFonts w:asciiTheme="majorHAnsi" w:hAnsiTheme="majorHAnsi"/>
              </w:rPr>
              <w:t xml:space="preserve"> admitido e despachado para providências.</w:t>
            </w:r>
          </w:p>
          <w:p w:rsidR="00B11655" w:rsidRPr="008E31A6" w:rsidRDefault="00B11655" w:rsidP="009B43E9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Theme="majorHAnsi" w:hAnsiTheme="majorHAnsi"/>
                <w:b/>
                <w:bCs/>
              </w:rPr>
            </w:pPr>
            <w:r w:rsidRPr="008E31A6">
              <w:rPr>
                <w:rFonts w:asciiTheme="majorHAnsi" w:hAnsiTheme="majorHAnsi"/>
                <w:b/>
                <w:bCs/>
              </w:rPr>
              <w:t xml:space="preserve">Processos para designação de relator e parecer final (concessão de carga dos autos aos Conselheiros): </w:t>
            </w:r>
          </w:p>
          <w:p w:rsidR="00B11655" w:rsidRPr="00B11655" w:rsidRDefault="00B11655" w:rsidP="009B43E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56296/2013:</w:t>
            </w:r>
            <w:r w:rsidR="003240E3">
              <w:rPr>
                <w:rFonts w:asciiTheme="majorHAnsi" w:hAnsiTheme="majorHAnsi"/>
              </w:rPr>
              <w:t xml:space="preserve"> </w:t>
            </w:r>
            <w:r w:rsidR="00E4264D">
              <w:rPr>
                <w:rFonts w:asciiTheme="majorHAnsi" w:hAnsiTheme="majorHAnsi"/>
              </w:rPr>
              <w:t>designado relator Cons. Rui Mineiro; processo em carga do Conselheiro.</w:t>
            </w:r>
          </w:p>
          <w:p w:rsidR="00B11655" w:rsidRPr="00B11655" w:rsidRDefault="00B11655" w:rsidP="009B43E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145008/2014:</w:t>
            </w:r>
            <w:r w:rsidR="003240E3">
              <w:rPr>
                <w:rFonts w:asciiTheme="majorHAnsi" w:hAnsiTheme="majorHAnsi"/>
              </w:rPr>
              <w:t xml:space="preserve"> designado relator Cons. Márcio Gomes Lontra; processo em carga do Conselheiro.</w:t>
            </w:r>
          </w:p>
          <w:p w:rsidR="009D5836" w:rsidRPr="00B11655" w:rsidRDefault="00B11655" w:rsidP="009B43E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144783/2014:</w:t>
            </w:r>
            <w:r w:rsidR="003240E3">
              <w:rPr>
                <w:rFonts w:asciiTheme="majorHAnsi" w:hAnsiTheme="majorHAnsi"/>
              </w:rPr>
              <w:t xml:space="preserve"> designado relator Cons. Rui Mineiro; processo em carga do Conselheir</w:t>
            </w:r>
            <w:r w:rsidR="0038185C">
              <w:rPr>
                <w:rFonts w:asciiTheme="majorHAnsi" w:hAnsiTheme="majorHAnsi"/>
              </w:rPr>
              <w:t>o.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A7C4E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FC75F4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D61C6C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B11655" w:rsidRPr="00B70214" w:rsidTr="00B11655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11655" w:rsidRPr="00B70214" w:rsidRDefault="00B11655" w:rsidP="008E31A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70214">
              <w:rPr>
                <w:rFonts w:asciiTheme="majorHAnsi" w:hAnsiTheme="majorHAnsi" w:cs="Times New Roman"/>
                <w:b/>
              </w:rPr>
              <w:t>E-mail CED-CAU/RS sobre treinamento do Módulo de Ética:</w:t>
            </w:r>
          </w:p>
        </w:tc>
      </w:tr>
      <w:tr w:rsidR="00B11655" w:rsidRPr="009178D3" w:rsidTr="00B11655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11655" w:rsidRPr="00B90B13" w:rsidRDefault="008E31A6" w:rsidP="009B43E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Coordenador da Comissão </w:t>
            </w:r>
            <w:r w:rsidR="006C5D59">
              <w:rPr>
                <w:rFonts w:asciiTheme="majorHAnsi" w:hAnsiTheme="majorHAnsi" w:cs="Times New Roman"/>
              </w:rPr>
              <w:t xml:space="preserve">sugere </w:t>
            </w:r>
            <w:r>
              <w:rPr>
                <w:rFonts w:asciiTheme="majorHAnsi" w:hAnsiTheme="majorHAnsi" w:cs="Times New Roman"/>
              </w:rPr>
              <w:t xml:space="preserve">a participação dele e do assessor jurídico Alexandre Noal dos Santos, </w:t>
            </w:r>
            <w:r w:rsidR="006C5D59">
              <w:rPr>
                <w:rFonts w:asciiTheme="majorHAnsi" w:hAnsiTheme="majorHAnsi" w:cs="Times New Roman"/>
              </w:rPr>
              <w:t xml:space="preserve">que foi aprovada pelos </w:t>
            </w:r>
            <w:r>
              <w:rPr>
                <w:rFonts w:asciiTheme="majorHAnsi" w:hAnsiTheme="majorHAnsi" w:cs="Times New Roman"/>
              </w:rPr>
              <w:t>demais conselheiros. O treinamento</w:t>
            </w:r>
            <w:r w:rsidR="000E7CC8">
              <w:rPr>
                <w:rFonts w:asciiTheme="majorHAnsi" w:hAnsiTheme="majorHAnsi" w:cs="Times New Roman"/>
              </w:rPr>
              <w:t>, promovido pela CED-</w:t>
            </w:r>
            <w:r w:rsidR="000E7CC8">
              <w:rPr>
                <w:rFonts w:asciiTheme="majorHAnsi" w:hAnsiTheme="majorHAnsi" w:cs="Times New Roman"/>
              </w:rPr>
              <w:lastRenderedPageBreak/>
              <w:t xml:space="preserve">CAU/BR, </w:t>
            </w:r>
            <w:r>
              <w:rPr>
                <w:rFonts w:asciiTheme="majorHAnsi" w:hAnsiTheme="majorHAnsi" w:cs="Times New Roman"/>
              </w:rPr>
              <w:t>acontecerá em Brasília dias</w:t>
            </w:r>
            <w:r w:rsidR="000E7CC8">
              <w:rPr>
                <w:rFonts w:asciiTheme="majorHAnsi" w:hAnsiTheme="majorHAnsi" w:cs="Times New Roman"/>
              </w:rPr>
              <w:t xml:space="preserve"> 17 e 18 de agosto de 2015. Conforme convite da Comissão (em anexo), a agenda foi definida diante da necessidade de uniformizar os trâmites dos processos ético-disciplinares e aprimorar o uso do Módulo de Ética do SICCAU. </w:t>
            </w:r>
          </w:p>
        </w:tc>
      </w:tr>
      <w:tr w:rsidR="00B11655" w:rsidRPr="009E47A2" w:rsidTr="00B11655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B11655" w:rsidRPr="009E47A2" w:rsidTr="00B116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11655" w:rsidRPr="009178D3" w:rsidTr="00B1165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Pr="00117DD3" w:rsidRDefault="000E7CC8" w:rsidP="00B116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  <w:r w:rsidR="001735A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Pr="00117DD3" w:rsidRDefault="00B70214" w:rsidP="00081DB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Memorando </w:t>
            </w:r>
            <w:r w:rsidR="00081DB1">
              <w:rPr>
                <w:rFonts w:asciiTheme="majorHAnsi" w:hAnsiTheme="majorHAnsi" w:cs="Times New Roman"/>
              </w:rPr>
              <w:t xml:space="preserve">para a </w:t>
            </w:r>
            <w:r>
              <w:rPr>
                <w:rFonts w:asciiTheme="majorHAnsi" w:hAnsiTheme="majorHAnsi" w:cs="Times New Roman"/>
              </w:rPr>
              <w:t xml:space="preserve">Presidência solicitando a participação do </w:t>
            </w:r>
            <w:r w:rsidR="006C5D59">
              <w:rPr>
                <w:rFonts w:asciiTheme="majorHAnsi" w:hAnsiTheme="majorHAnsi" w:cs="Times New Roman"/>
              </w:rPr>
              <w:t xml:space="preserve">Coordenador da Comissão </w:t>
            </w:r>
            <w:r w:rsidR="000E7CC8">
              <w:rPr>
                <w:rFonts w:asciiTheme="majorHAnsi" w:hAnsiTheme="majorHAnsi" w:cs="Times New Roman"/>
              </w:rPr>
              <w:t>e do assessor jurídico Alexandre Noal dos Santos para participarem do treinamento.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Pr="00117DD3" w:rsidRDefault="000E7CC8" w:rsidP="00B11655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11655" w:rsidRPr="00B70214" w:rsidTr="00B11655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11655" w:rsidRPr="00B70214" w:rsidRDefault="00B11655" w:rsidP="00B11655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70214">
              <w:rPr>
                <w:rFonts w:asciiTheme="majorHAnsi" w:hAnsiTheme="majorHAnsi" w:cs="Times New Roman"/>
                <w:b/>
              </w:rPr>
              <w:t>Deliberação sobre requisitos mínimos para encaminhamentos pela CEP-CAU/BR:</w:t>
            </w:r>
          </w:p>
        </w:tc>
      </w:tr>
      <w:tr w:rsidR="00B11655" w:rsidRPr="00B90B13" w:rsidTr="00B11655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11655" w:rsidRPr="00B90B13" w:rsidRDefault="000E7CC8" w:rsidP="009B43E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Deliberação CED-CAU/RS nº 01/2015 </w:t>
            </w:r>
            <w:r w:rsidR="00081DB1">
              <w:rPr>
                <w:rFonts w:asciiTheme="majorHAnsi" w:hAnsiTheme="majorHAnsi" w:cs="Times New Roman"/>
              </w:rPr>
              <w:t>foi lida pelos Conselheiros e</w:t>
            </w:r>
            <w:r w:rsidR="00E16F92">
              <w:rPr>
                <w:rFonts w:asciiTheme="majorHAnsi" w:hAnsiTheme="majorHAnsi" w:cs="Times New Roman"/>
              </w:rPr>
              <w:t xml:space="preserve"> </w:t>
            </w:r>
            <w:r w:rsidR="006F1CB5">
              <w:rPr>
                <w:rFonts w:asciiTheme="majorHAnsi" w:hAnsiTheme="majorHAnsi" w:cs="Times New Roman"/>
              </w:rPr>
              <w:t>aprovada pelos presentes. Por tratar-se de orientação administrativa, a Comissão decide por apresentar na reunião do Conselho Diretor do dia 15/07/2015.</w:t>
            </w:r>
          </w:p>
        </w:tc>
      </w:tr>
      <w:tr w:rsidR="00B11655" w:rsidRPr="00117DD3" w:rsidTr="00B11655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11655" w:rsidRPr="00117DD3" w:rsidTr="00B116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11655" w:rsidTr="00B1165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B11655" w:rsidRPr="00B70214" w:rsidTr="00B11655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11655" w:rsidRPr="00B70214" w:rsidRDefault="00B11655" w:rsidP="00B11655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70214">
              <w:rPr>
                <w:rFonts w:asciiTheme="majorHAnsi" w:hAnsiTheme="majorHAnsi" w:cs="Times New Roman"/>
                <w:b/>
              </w:rPr>
              <w:t>Evento CED-CAU/RS:</w:t>
            </w:r>
          </w:p>
        </w:tc>
      </w:tr>
      <w:tr w:rsidR="00B11655" w:rsidRPr="00B90B13" w:rsidTr="00B11655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11655" w:rsidRDefault="00980584" w:rsidP="009B43E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De acordo com o Cons.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Maria, não se trata de um evento específico, mas da realização de visitas às IES, para as quais ainda há data definida.</w:t>
            </w:r>
          </w:p>
          <w:p w:rsidR="00980584" w:rsidRPr="00B90B13" w:rsidRDefault="00980584" w:rsidP="009B43E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Segundo ele, a Gerente Técnica e de Fiscalização, </w:t>
            </w: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Izabel Girardello, está trabalhando na elaboração da apresentação.</w:t>
            </w:r>
          </w:p>
        </w:tc>
      </w:tr>
      <w:tr w:rsidR="00B11655" w:rsidRPr="00117DD3" w:rsidTr="00B11655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11655" w:rsidRPr="00117DD3" w:rsidTr="00B116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11655" w:rsidTr="00B1165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B11655" w:rsidRPr="00B70214" w:rsidTr="00B11655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11655" w:rsidRPr="00B70214" w:rsidRDefault="00B11655" w:rsidP="00B11655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B70214">
              <w:rPr>
                <w:rFonts w:asciiTheme="majorHAnsi" w:hAnsiTheme="majorHAnsi" w:cs="Times New Roman"/>
                <w:b/>
              </w:rPr>
              <w:t>Assuntos Gerais:</w:t>
            </w:r>
          </w:p>
        </w:tc>
      </w:tr>
      <w:tr w:rsidR="00B11655" w:rsidRPr="00B11655" w:rsidTr="00B11655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11655" w:rsidRDefault="00B1165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 w:cs="Helvetica"/>
                <w:color w:val="000000"/>
              </w:rPr>
            </w:pPr>
            <w:proofErr w:type="gramStart"/>
            <w:r w:rsidRPr="00B11655">
              <w:rPr>
                <w:rFonts w:asciiTheme="majorHAnsi" w:eastAsia="Times New Roman" w:hAnsiTheme="majorHAnsi"/>
                <w:b/>
                <w:color w:val="000000"/>
              </w:rPr>
              <w:t>8.1</w:t>
            </w:r>
            <w:r w:rsidRPr="00B11655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Pr="00BB0ED2">
              <w:rPr>
                <w:rFonts w:asciiTheme="majorHAnsi" w:eastAsia="Times New Roman" w:hAnsiTheme="majorHAnsi" w:cs="Helvetica"/>
                <w:b/>
                <w:color w:val="000000"/>
              </w:rPr>
              <w:t>Relato</w:t>
            </w:r>
            <w:proofErr w:type="gramEnd"/>
            <w:r w:rsidRPr="00BB0ED2">
              <w:rPr>
                <w:rFonts w:asciiTheme="majorHAnsi" w:eastAsia="Times New Roman" w:hAnsiTheme="majorHAnsi" w:cs="Helvetica"/>
                <w:b/>
                <w:color w:val="000000"/>
              </w:rPr>
              <w:t xml:space="preserve"> sobre Seminário Regional CED</w:t>
            </w:r>
            <w:r w:rsidR="00D669BC">
              <w:rPr>
                <w:rFonts w:asciiTheme="majorHAnsi" w:eastAsia="Times New Roman" w:hAnsiTheme="majorHAnsi" w:cs="Helvetica"/>
                <w:b/>
                <w:color w:val="000000"/>
              </w:rPr>
              <w:t>-</w:t>
            </w:r>
            <w:r w:rsidRPr="00BB0ED2">
              <w:rPr>
                <w:rFonts w:asciiTheme="majorHAnsi" w:eastAsia="Times New Roman" w:hAnsiTheme="majorHAnsi" w:cs="Helvetica"/>
                <w:b/>
                <w:color w:val="000000"/>
              </w:rPr>
              <w:t>CAU</w:t>
            </w:r>
            <w:r w:rsidR="00D669BC">
              <w:rPr>
                <w:rFonts w:asciiTheme="majorHAnsi" w:eastAsia="Times New Roman" w:hAnsiTheme="majorHAnsi" w:cs="Helvetica"/>
                <w:b/>
                <w:color w:val="000000"/>
              </w:rPr>
              <w:t>/</w:t>
            </w:r>
            <w:r w:rsidRPr="00BB0ED2">
              <w:rPr>
                <w:rFonts w:asciiTheme="majorHAnsi" w:eastAsia="Times New Roman" w:hAnsiTheme="majorHAnsi" w:cs="Helvetica"/>
                <w:b/>
                <w:color w:val="000000"/>
              </w:rPr>
              <w:t>BR em Goiânia</w:t>
            </w:r>
            <w:r w:rsidR="00BB0ED2">
              <w:rPr>
                <w:rFonts w:asciiTheme="majorHAnsi" w:eastAsia="Times New Roman" w:hAnsiTheme="majorHAnsi" w:cs="Helvetica"/>
                <w:b/>
                <w:color w:val="000000"/>
              </w:rPr>
              <w:t>/</w:t>
            </w:r>
            <w:r w:rsidRPr="00BB0ED2">
              <w:rPr>
                <w:rFonts w:asciiTheme="majorHAnsi" w:eastAsia="Times New Roman" w:hAnsiTheme="majorHAnsi" w:cs="Helvetica"/>
                <w:b/>
                <w:color w:val="000000"/>
              </w:rPr>
              <w:t>GO:</w:t>
            </w:r>
          </w:p>
          <w:p w:rsidR="00B11655" w:rsidRDefault="006F1CB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O Conselheiro Rui Mineiro relata sua participação no Seminário Regional e ressalta a importância da participação de, pelo menos, 01 conselheiro nessas reuniões.</w:t>
            </w:r>
          </w:p>
          <w:p w:rsidR="006F1CB5" w:rsidRDefault="003204CC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Informa que propôs à CED-CAU/BR a </w:t>
            </w:r>
            <w:r w:rsidR="006F1CB5">
              <w:rPr>
                <w:rFonts w:asciiTheme="majorHAnsi" w:eastAsia="Times New Roman" w:hAnsiTheme="majorHAnsi"/>
                <w:color w:val="000000"/>
              </w:rPr>
              <w:t xml:space="preserve">inclusão </w:t>
            </w:r>
            <w:r w:rsidR="004A74FE">
              <w:rPr>
                <w:rFonts w:asciiTheme="majorHAnsi" w:eastAsia="Times New Roman" w:hAnsiTheme="majorHAnsi"/>
                <w:color w:val="000000"/>
              </w:rPr>
              <w:t xml:space="preserve">da manifestação prévia por parte do denunciado na denúncia </w:t>
            </w:r>
            <w:r>
              <w:rPr>
                <w:rFonts w:asciiTheme="majorHAnsi" w:eastAsia="Times New Roman" w:hAnsiTheme="majorHAnsi"/>
                <w:color w:val="000000"/>
              </w:rPr>
              <w:t>na fase anterior à admissão pela Comissão.</w:t>
            </w:r>
          </w:p>
          <w:p w:rsidR="006F1CB5" w:rsidRDefault="006F1CB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O Conselheiro apresentou as denúncias recebidas no CAU/RS sobre exercício profissional de alunos. Não houve resposta imediata, mas o tema será estudado pelo CAU/BR.</w:t>
            </w:r>
          </w:p>
          <w:p w:rsidR="004E2AF6" w:rsidRDefault="004E2AF6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Foi entregue ao Coord. da Comissão um Caderno Técnico produzido pelo CAU/GO, que encaminhará à Gerência </w:t>
            </w:r>
            <w:r w:rsidR="00980584">
              <w:rPr>
                <w:rFonts w:asciiTheme="majorHAnsi" w:eastAsia="Times New Roman" w:hAnsiTheme="majorHAnsi"/>
                <w:color w:val="000000"/>
              </w:rPr>
              <w:t>d</w:t>
            </w:r>
            <w:r>
              <w:rPr>
                <w:rFonts w:asciiTheme="majorHAnsi" w:eastAsia="Times New Roman" w:hAnsiTheme="majorHAnsi"/>
                <w:color w:val="000000"/>
              </w:rPr>
              <w:t>e Planejamento para verificar a viabilidade de produção de material similar pelo CAU/RS.</w:t>
            </w:r>
          </w:p>
          <w:p w:rsidR="006F1CB5" w:rsidRDefault="006F1CB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O Coordenador informa que o próximo Seminário Regional será em Manaus e </w:t>
            </w:r>
            <w:r w:rsidR="00C933EC">
              <w:rPr>
                <w:rFonts w:asciiTheme="majorHAnsi" w:eastAsia="Times New Roman" w:hAnsiTheme="majorHAnsi"/>
                <w:color w:val="000000"/>
              </w:rPr>
              <w:t xml:space="preserve">reforça a importância da CED-CAU/RS ter um representante. </w:t>
            </w:r>
          </w:p>
          <w:p w:rsidR="00B11655" w:rsidRPr="00BB0ED2" w:rsidRDefault="00B1165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proofErr w:type="gramStart"/>
            <w:r w:rsidRPr="00B11655">
              <w:rPr>
                <w:rFonts w:asciiTheme="majorHAnsi" w:eastAsia="Times New Roman" w:hAnsiTheme="majorHAnsi"/>
                <w:b/>
                <w:color w:val="000000"/>
              </w:rPr>
              <w:t>8.2</w:t>
            </w:r>
            <w:r w:rsidRPr="00B11655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>Retorno</w:t>
            </w:r>
            <w:proofErr w:type="gramEnd"/>
            <w:r w:rsidRPr="00BB0ED2">
              <w:rPr>
                <w:rFonts w:asciiTheme="majorHAnsi" w:eastAsia="Times New Roman" w:hAnsiTheme="majorHAnsi"/>
                <w:b/>
                <w:color w:val="000000"/>
              </w:rPr>
              <w:t xml:space="preserve"> sobre encaminhamento de memorando ao CAU/BR sobre exercício profissional de alunos ainda não formados: </w:t>
            </w:r>
          </w:p>
          <w:p w:rsidR="00BB0ED2" w:rsidRPr="00BB0ED2" w:rsidRDefault="00BB0ED2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BB0ED2">
              <w:rPr>
                <w:rFonts w:asciiTheme="majorHAnsi" w:eastAsia="Times New Roman" w:hAnsiTheme="majorHAnsi"/>
                <w:color w:val="000000"/>
              </w:rPr>
              <w:t>De acordo com a Gabriela Teixeira, assistente administrativa da Unidade de Ética, o memorando já foi enviado ao CAU/BR – via Presidência.</w:t>
            </w:r>
          </w:p>
          <w:p w:rsidR="00B11655" w:rsidRDefault="00B1165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B11655">
              <w:rPr>
                <w:rFonts w:asciiTheme="majorHAnsi" w:eastAsia="Times New Roman" w:hAnsiTheme="majorHAnsi"/>
                <w:b/>
                <w:color w:val="000000"/>
              </w:rPr>
              <w:t xml:space="preserve">8.3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>Retorno</w:t>
            </w:r>
            <w:proofErr w:type="gramEnd"/>
            <w:r w:rsidRPr="00BB0ED2">
              <w:rPr>
                <w:rFonts w:asciiTheme="majorHAnsi" w:eastAsia="Times New Roman" w:hAnsiTheme="majorHAnsi"/>
                <w:b/>
                <w:color w:val="000000"/>
              </w:rPr>
              <w:t xml:space="preserve"> sobre solicitação de contato com o Ministério do Trabalho e Emprego:</w:t>
            </w:r>
          </w:p>
          <w:p w:rsidR="00BB0ED2" w:rsidRPr="00BB0ED2" w:rsidRDefault="00BB0ED2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BB0ED2">
              <w:rPr>
                <w:rFonts w:asciiTheme="majorHAnsi" w:eastAsia="Times New Roman" w:hAnsiTheme="majorHAnsi"/>
                <w:color w:val="000000"/>
              </w:rPr>
              <w:t>O assunto foi repassado à assessora de Comunicação do CAU/RS, que está aguardando retorno da assessoria de Comunicação do MTE.</w:t>
            </w:r>
          </w:p>
          <w:p w:rsidR="004E2AF6" w:rsidRDefault="00B11655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B11655">
              <w:rPr>
                <w:rFonts w:asciiTheme="majorHAnsi" w:eastAsia="Times New Roman" w:hAnsiTheme="majorHAnsi"/>
                <w:b/>
                <w:color w:val="000000"/>
              </w:rPr>
              <w:t xml:space="preserve">8.4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>Retorno</w:t>
            </w:r>
            <w:proofErr w:type="gramEnd"/>
            <w:r w:rsidRPr="00BB0ED2">
              <w:rPr>
                <w:rFonts w:asciiTheme="majorHAnsi" w:eastAsia="Times New Roman" w:hAnsiTheme="majorHAnsi"/>
                <w:b/>
                <w:color w:val="000000"/>
              </w:rPr>
              <w:t xml:space="preserve"> sobre publicação no informativo da necessidade de profissional Arquiteto e Urbanista responsável pela execução da obra </w:t>
            </w:r>
            <w:r w:rsidR="00BB0ED2">
              <w:rPr>
                <w:rFonts w:asciiTheme="majorHAnsi" w:eastAsia="Times New Roman" w:hAnsiTheme="majorHAnsi"/>
                <w:b/>
                <w:color w:val="000000"/>
              </w:rPr>
              <w:t xml:space="preserve">para </w:t>
            </w:r>
            <w:r w:rsidRPr="00BB0ED2">
              <w:rPr>
                <w:rFonts w:asciiTheme="majorHAnsi" w:eastAsia="Times New Roman" w:hAnsiTheme="majorHAnsi"/>
                <w:b/>
                <w:color w:val="000000"/>
              </w:rPr>
              <w:t>dar o encaminhamen</w:t>
            </w:r>
            <w:r w:rsidR="00BB0ED2" w:rsidRPr="00BB0ED2">
              <w:rPr>
                <w:rFonts w:asciiTheme="majorHAnsi" w:eastAsia="Times New Roman" w:hAnsiTheme="majorHAnsi"/>
                <w:b/>
                <w:color w:val="000000"/>
              </w:rPr>
              <w:t>to no Habite-se em Porto Alegre:</w:t>
            </w:r>
            <w:r w:rsidR="00BB0ED2">
              <w:rPr>
                <w:rFonts w:asciiTheme="majorHAnsi" w:eastAsia="Times New Roman" w:hAnsiTheme="majorHAnsi"/>
                <w:color w:val="000000"/>
              </w:rPr>
              <w:t xml:space="preserve"> Em contato com a assessoria de Comunicação, a mesma sugere que a matéria seja publicada no dia 27 de julho – </w:t>
            </w:r>
            <w:r w:rsidR="00B70214">
              <w:rPr>
                <w:rFonts w:asciiTheme="majorHAnsi" w:eastAsia="Times New Roman" w:hAnsiTheme="majorHAnsi"/>
                <w:color w:val="000000"/>
              </w:rPr>
              <w:t xml:space="preserve">“Dia da Segurança no Trabalho”. </w:t>
            </w:r>
            <w:r w:rsidR="004E2AF6">
              <w:rPr>
                <w:rFonts w:asciiTheme="majorHAnsi" w:eastAsia="Times New Roman" w:hAnsiTheme="majorHAnsi"/>
                <w:color w:val="000000"/>
              </w:rPr>
              <w:t>O Coordenador trabalhará no texto e enviará à Assessoria de Comunicação.</w:t>
            </w:r>
          </w:p>
          <w:p w:rsidR="003204CC" w:rsidRDefault="003204CC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hAnsiTheme="majorHAnsi" w:cs="Times New Roman"/>
              </w:rPr>
            </w:pPr>
          </w:p>
          <w:p w:rsidR="003204CC" w:rsidRPr="00B11655" w:rsidRDefault="003204CC" w:rsidP="009B43E9">
            <w:pPr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Theme="majorHAnsi" w:hAnsiTheme="majorHAnsi" w:cs="Times New Roman"/>
              </w:rPr>
            </w:pPr>
          </w:p>
        </w:tc>
      </w:tr>
      <w:tr w:rsidR="00B11655" w:rsidRPr="00117DD3" w:rsidTr="00B11655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B11655" w:rsidRPr="00117DD3" w:rsidTr="00B116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5" w:rsidRPr="00117DD3" w:rsidRDefault="00B11655" w:rsidP="00B11655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11655" w:rsidTr="00B1165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11655" w:rsidRDefault="00B11655" w:rsidP="00B11655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0A58D1" w:rsidRDefault="00B70214" w:rsidP="0066688F">
            <w:pPr>
              <w:ind w:left="176" w:right="-1"/>
              <w:rPr>
                <w:rFonts w:asciiTheme="majorHAnsi" w:hAnsiTheme="majorHAnsi" w:cs="Times New Roman"/>
                <w:highlight w:val="yellow"/>
              </w:rPr>
            </w:pPr>
            <w:proofErr w:type="spellStart"/>
            <w:r>
              <w:rPr>
                <w:rFonts w:asciiTheme="majorHAnsi" w:hAnsiTheme="majorHAnsi" w:cs="Times New Roman"/>
              </w:rPr>
              <w:t>Efreu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Brignol</w:t>
            </w:r>
            <w:proofErr w:type="spellEnd"/>
            <w:r>
              <w:rPr>
                <w:rFonts w:asciiTheme="majorHAnsi" w:hAnsiTheme="majorHAnsi" w:cs="Times New Roman"/>
              </w:rPr>
              <w:t xml:space="preserve"> Quintana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782FC8" w:rsidP="00FC7FB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C429D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FC429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 xml:space="preserve">Secretária Executiva 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9E" w:rsidRDefault="00A4469E" w:rsidP="00A021E7">
      <w:pPr>
        <w:spacing w:after="0" w:line="240" w:lineRule="auto"/>
      </w:pPr>
      <w:r>
        <w:separator/>
      </w:r>
    </w:p>
  </w:endnote>
  <w:endnote w:type="continuationSeparator" w:id="0">
    <w:p w:rsidR="00A4469E" w:rsidRDefault="00A446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735A2" w:rsidRPr="005E4F36" w:rsidRDefault="001735A2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E7BF5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735A2" w:rsidRPr="005E4F36" w:rsidRDefault="001735A2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9E" w:rsidRDefault="00A4469E" w:rsidP="00A021E7">
      <w:pPr>
        <w:spacing w:after="0" w:line="240" w:lineRule="auto"/>
      </w:pPr>
      <w:r>
        <w:separator/>
      </w:r>
    </w:p>
  </w:footnote>
  <w:footnote w:type="continuationSeparator" w:id="0">
    <w:p w:rsidR="00A4469E" w:rsidRDefault="00A446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A2" w:rsidRDefault="001735A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017A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265B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46AB6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F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217DC"/>
    <w:multiLevelType w:val="hybridMultilevel"/>
    <w:tmpl w:val="088EA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DB1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CC8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35A2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CE6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4CC"/>
    <w:rsid w:val="00320E7E"/>
    <w:rsid w:val="00320E9C"/>
    <w:rsid w:val="00320FE9"/>
    <w:rsid w:val="003216B3"/>
    <w:rsid w:val="00321940"/>
    <w:rsid w:val="00322840"/>
    <w:rsid w:val="003230B5"/>
    <w:rsid w:val="003240AD"/>
    <w:rsid w:val="003240E3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0749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85C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5AB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C7D91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4F37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3F1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4FE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2AF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BC2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68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5D59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1CB5"/>
    <w:rsid w:val="006F23DD"/>
    <w:rsid w:val="006F3427"/>
    <w:rsid w:val="006F3553"/>
    <w:rsid w:val="006F3608"/>
    <w:rsid w:val="006F4414"/>
    <w:rsid w:val="006F4649"/>
    <w:rsid w:val="006F5763"/>
    <w:rsid w:val="006F5A88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50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BF5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1A6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584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E9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836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2CDC"/>
    <w:rsid w:val="00A43030"/>
    <w:rsid w:val="00A43584"/>
    <w:rsid w:val="00A4359E"/>
    <w:rsid w:val="00A43C99"/>
    <w:rsid w:val="00A446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015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1655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214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ED2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33EC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A8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9BC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6F92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4D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050C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B73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29D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2342-B217-42C5-A0C3-934B86C3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</cp:revision>
  <cp:lastPrinted>2015-07-27T17:56:00Z</cp:lastPrinted>
  <dcterms:created xsi:type="dcterms:W3CDTF">2015-07-13T13:32:00Z</dcterms:created>
  <dcterms:modified xsi:type="dcterms:W3CDTF">2015-08-17T15:34:00Z</dcterms:modified>
</cp:coreProperties>
</file>