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79"/>
        <w:tblW w:w="90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3645DD" w:rsidTr="003645DD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Pr="00220DCA" w:rsidRDefault="003645DD" w:rsidP="003645D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20DC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Pr="00220DCA" w:rsidRDefault="003645DD" w:rsidP="003645DD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0DC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PROTOCOLO  </w:t>
            </w:r>
            <w:r w:rsidR="00770F7C" w:rsidRPr="00220D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1503086</w:t>
            </w:r>
            <w:r w:rsidRPr="00220D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/2022</w:t>
            </w:r>
          </w:p>
        </w:tc>
      </w:tr>
      <w:tr w:rsidR="003645DD" w:rsidTr="003645DD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Pr="00220DCA" w:rsidRDefault="003645DD" w:rsidP="003645D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20DCA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Pr="00220DCA" w:rsidRDefault="00770F7C" w:rsidP="003645D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20DCA">
              <w:rPr>
                <w:rFonts w:asciiTheme="minorHAnsi" w:hAnsiTheme="minorHAnsi" w:cstheme="minorHAnsi"/>
                <w:sz w:val="22"/>
                <w:szCs w:val="22"/>
              </w:rPr>
              <w:t>COBRANÇA DE CORREÇÃO MONETÁRIA, MULTA DE MORA NOS PROCESSOS DE MULTAS DE FISCALIZAÇÃO</w:t>
            </w:r>
          </w:p>
        </w:tc>
      </w:tr>
      <w:tr w:rsidR="003645DD" w:rsidTr="003645DD"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Pr="00220DCA" w:rsidRDefault="00CC3476" w:rsidP="003645D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045</w:t>
            </w:r>
            <w:r w:rsidR="003645DD" w:rsidRPr="00220DCA">
              <w:rPr>
                <w:rFonts w:asciiTheme="minorHAnsi" w:hAnsiTheme="minorHAnsi" w:cstheme="minorHAnsi"/>
                <w:b/>
                <w:sz w:val="22"/>
                <w:szCs w:val="22"/>
              </w:rPr>
              <w:t>/2022 – CPF – CAU/RS</w:t>
            </w:r>
          </w:p>
        </w:tc>
        <w:tc>
          <w:tcPr>
            <w:tcW w:w="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45DD" w:rsidRDefault="003645DD" w:rsidP="003645DD">
            <w:pPr>
              <w:tabs>
                <w:tab w:val="left" w:pos="1418"/>
              </w:tabs>
              <w:jc w:val="center"/>
            </w:pPr>
          </w:p>
        </w:tc>
      </w:tr>
    </w:tbl>
    <w:p w:rsidR="003645DD" w:rsidRPr="003645DD" w:rsidRDefault="00BF509C" w:rsidP="00380D7A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1E1194" w:rsidRPr="00220DCA" w:rsidRDefault="001E1194" w:rsidP="001E1194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>A COMISSÃO DE PLANEJAMENTO E FINANÇAS (CPFI-CAU/RS), por meio de reunião remota, realizada atra</w:t>
      </w:r>
      <w:r w:rsidR="00770F7C"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vés do software </w:t>
      </w:r>
      <w:proofErr w:type="spellStart"/>
      <w:r w:rsidR="00770F7C" w:rsidRPr="00220DCA">
        <w:rPr>
          <w:rFonts w:asciiTheme="minorHAnsi" w:hAnsiTheme="minorHAnsi" w:cstheme="minorHAnsi"/>
          <w:sz w:val="22"/>
          <w:szCs w:val="22"/>
          <w:lang w:eastAsia="pt-BR"/>
        </w:rPr>
        <w:t>Teams</w:t>
      </w:r>
      <w:proofErr w:type="spellEnd"/>
      <w:r w:rsidR="00770F7C" w:rsidRPr="00220DCA">
        <w:rPr>
          <w:rFonts w:asciiTheme="minorHAnsi" w:hAnsiTheme="minorHAnsi" w:cstheme="minorHAnsi"/>
          <w:sz w:val="22"/>
          <w:szCs w:val="22"/>
          <w:lang w:eastAsia="pt-BR"/>
        </w:rPr>
        <w:t>, no dia 11 de out</w:t>
      </w:r>
      <w:r w:rsidR="00220DCA">
        <w:rPr>
          <w:rFonts w:asciiTheme="minorHAnsi" w:hAnsiTheme="minorHAnsi" w:cstheme="minorHAnsi"/>
          <w:sz w:val="22"/>
          <w:szCs w:val="22"/>
          <w:lang w:eastAsia="pt-BR"/>
        </w:rPr>
        <w:t>u</w:t>
      </w:r>
      <w:r w:rsidR="00770F7C" w:rsidRPr="00220DCA">
        <w:rPr>
          <w:rFonts w:asciiTheme="minorHAnsi" w:hAnsiTheme="minorHAnsi" w:cstheme="minorHAnsi"/>
          <w:sz w:val="22"/>
          <w:szCs w:val="22"/>
          <w:lang w:eastAsia="pt-BR"/>
        </w:rPr>
        <w:t>bro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de 2022, no uso das competências que lhe conferem a Lei nº 12.378/2010 e o Regimento Interno do CAU/RS.</w:t>
      </w:r>
    </w:p>
    <w:p w:rsidR="00380D7A" w:rsidRPr="00220DCA" w:rsidRDefault="00380D7A" w:rsidP="00380D7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80D7A" w:rsidRPr="00220DCA" w:rsidRDefault="00380D7A" w:rsidP="00380D7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0DCA">
        <w:rPr>
          <w:rFonts w:asciiTheme="minorHAnsi" w:hAnsiTheme="minorHAnsi" w:cstheme="minorHAnsi"/>
          <w:sz w:val="22"/>
          <w:szCs w:val="22"/>
        </w:rPr>
        <w:t xml:space="preserve">Considerando que o inciso VI, do art. 34, da Lei nº 12.378/2010, estabelece que compete aos </w:t>
      </w:r>
      <w:proofErr w:type="spellStart"/>
      <w:r w:rsidRPr="00220DCA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220DCA">
        <w:rPr>
          <w:rFonts w:asciiTheme="minorHAnsi" w:hAnsiTheme="minorHAnsi" w:cstheme="minorHAnsi"/>
          <w:sz w:val="22"/>
          <w:szCs w:val="22"/>
        </w:rPr>
        <w:t xml:space="preserve"> a cobrança das anuidades;</w:t>
      </w:r>
    </w:p>
    <w:p w:rsidR="00770F7C" w:rsidRPr="00220DCA" w:rsidRDefault="00770F7C" w:rsidP="00380D7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70F7C" w:rsidRPr="00220DCA" w:rsidRDefault="00770F7C" w:rsidP="00380D7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0DCA">
        <w:rPr>
          <w:rFonts w:asciiTheme="minorHAnsi" w:hAnsiTheme="minorHAnsi" w:cstheme="minorHAnsi"/>
          <w:sz w:val="22"/>
          <w:szCs w:val="22"/>
        </w:rPr>
        <w:t>Considerando a Deliberação nº 062/2022 – CEP-CAU/RS, a qual solicita aprovação do texto sugerido quanto aos procedimentos acerca de correção monetária, juros e multa de mora em ralação aos débitos não pagos no prazo, conforme a Resolução nº 193, do CAU/BR;</w:t>
      </w:r>
    </w:p>
    <w:p w:rsidR="00210207" w:rsidRPr="00220DCA" w:rsidRDefault="00BF509C" w:rsidP="00380D7A">
      <w:pPr>
        <w:pStyle w:val="NormalWeb"/>
        <w:shd w:val="clear" w:color="auto" w:fill="FFFFFF"/>
        <w:spacing w:before="75" w:after="75"/>
        <w:jc w:val="both"/>
        <w:rPr>
          <w:rFonts w:asciiTheme="minorHAnsi" w:hAnsiTheme="minorHAnsi" w:cstheme="minorHAnsi"/>
          <w:sz w:val="22"/>
          <w:szCs w:val="22"/>
        </w:rPr>
      </w:pPr>
      <w:r w:rsidRPr="00220DCA">
        <w:rPr>
          <w:rFonts w:asciiTheme="minorHAnsi" w:hAnsiTheme="minorHAnsi" w:cstheme="minorHAnsi"/>
          <w:sz w:val="22"/>
          <w:szCs w:val="22"/>
        </w:rPr>
        <w:t xml:space="preserve">Considerando que a Resolução CAU/BR nº 193/2022, alterada pela Resolução </w:t>
      </w:r>
      <w:r w:rsidR="00210207" w:rsidRPr="00220DCA">
        <w:rPr>
          <w:rFonts w:asciiTheme="minorHAnsi" w:hAnsiTheme="minorHAnsi" w:cstheme="minorHAnsi"/>
          <w:sz w:val="22"/>
          <w:szCs w:val="22"/>
        </w:rPr>
        <w:t>CAU/BR nº 211/2021, prevê em seu</w:t>
      </w:r>
      <w:r w:rsidR="00520306" w:rsidRPr="00220DCA">
        <w:rPr>
          <w:rFonts w:asciiTheme="minorHAnsi" w:hAnsiTheme="minorHAnsi" w:cstheme="minorHAnsi"/>
          <w:sz w:val="22"/>
          <w:szCs w:val="22"/>
        </w:rPr>
        <w:t xml:space="preserve">s artigos.10, e 25, </w:t>
      </w:r>
      <w:r w:rsidR="00210207" w:rsidRPr="00220DCA">
        <w:rPr>
          <w:rFonts w:asciiTheme="minorHAnsi" w:hAnsiTheme="minorHAnsi" w:cstheme="minorHAnsi"/>
          <w:sz w:val="22"/>
          <w:szCs w:val="22"/>
        </w:rPr>
        <w:t xml:space="preserve">o seguinte: </w:t>
      </w:r>
    </w:p>
    <w:p w:rsidR="00380D7A" w:rsidRPr="00220DCA" w:rsidRDefault="00380D7A" w:rsidP="00380D7A">
      <w:pPr>
        <w:pStyle w:val="NormalWeb"/>
        <w:shd w:val="clear" w:color="auto" w:fill="FFFFFF"/>
        <w:spacing w:before="75" w:after="75"/>
        <w:jc w:val="both"/>
        <w:rPr>
          <w:rFonts w:asciiTheme="minorHAnsi" w:hAnsiTheme="minorHAnsi" w:cstheme="minorHAnsi"/>
          <w:sz w:val="22"/>
          <w:szCs w:val="22"/>
        </w:rPr>
      </w:pPr>
      <w:r w:rsidRPr="00220DCA">
        <w:rPr>
          <w:rFonts w:asciiTheme="minorHAnsi" w:hAnsiTheme="minorHAnsi" w:cstheme="minorHAnsi"/>
          <w:sz w:val="22"/>
          <w:szCs w:val="22"/>
        </w:rPr>
        <w:t xml:space="preserve"> </w:t>
      </w:r>
      <w:r w:rsidR="00520306" w:rsidRPr="00220DCA">
        <w:rPr>
          <w:rFonts w:asciiTheme="minorHAnsi" w:hAnsiTheme="minorHAnsi" w:cstheme="minorHAnsi"/>
          <w:sz w:val="22"/>
          <w:szCs w:val="22"/>
        </w:rPr>
        <w:t>“Art. 10. As anuidades e multas devidas, que não forem quitadas nas datas dos respectivos vencimentos, serão acrescidas de correção com base na variação da Taxa Referencial do Sistema Especial de Liquidação e de Custódia (SELIC), calculada desde o primeiro dia de atraso até o último dia do mês antecedente ao do pagamento, e juros de 1% (um por cento) no mês do pagamento. (Redação dada pela Resolução CAU/BR n° 211, de 19 de novembro de 2021);</w:t>
      </w:r>
    </w:p>
    <w:p w:rsidR="00520306" w:rsidRPr="00220DCA" w:rsidRDefault="00520306" w:rsidP="00380D7A">
      <w:pPr>
        <w:pStyle w:val="NormalWeb"/>
        <w:shd w:val="clear" w:color="auto" w:fill="FFFFFF"/>
        <w:spacing w:before="75" w:after="75"/>
        <w:jc w:val="both"/>
        <w:rPr>
          <w:rFonts w:asciiTheme="minorHAnsi" w:hAnsiTheme="minorHAnsi" w:cstheme="minorHAnsi"/>
          <w:sz w:val="22"/>
          <w:szCs w:val="22"/>
        </w:rPr>
      </w:pPr>
      <w:r w:rsidRPr="00220DCA">
        <w:rPr>
          <w:rFonts w:asciiTheme="minorHAnsi" w:hAnsiTheme="minorHAnsi" w:cstheme="minorHAnsi"/>
          <w:sz w:val="22"/>
          <w:szCs w:val="22"/>
        </w:rPr>
        <w:t>Art. 25. Os valores de multas decorrentes de processos administrativos transitados em julgado e os valores de anuidades, quando vencidos, devidamente acrescidos dos encargos legais, inclusive, quando for o caso, daqueles previstos no art. 10, poderão ser pagos: (Redação dada pela Resolução CAU/BR n° 211, de 19 de novembro de 2021); “</w:t>
      </w:r>
    </w:p>
    <w:p w:rsidR="00314A85" w:rsidRDefault="00314A85" w:rsidP="00380D7A">
      <w:pPr>
        <w:pStyle w:val="NormalWeb"/>
        <w:shd w:val="clear" w:color="auto" w:fill="FFFFFF"/>
        <w:spacing w:before="75" w:after="75"/>
        <w:jc w:val="both"/>
        <w:rPr>
          <w:rFonts w:asciiTheme="minorHAnsi" w:hAnsiTheme="minorHAnsi" w:cstheme="minorHAnsi"/>
          <w:sz w:val="22"/>
          <w:szCs w:val="22"/>
        </w:rPr>
      </w:pPr>
      <w:r w:rsidRPr="00220DCA">
        <w:rPr>
          <w:rFonts w:asciiTheme="minorHAnsi" w:hAnsiTheme="minorHAnsi" w:cstheme="minorHAnsi"/>
          <w:sz w:val="22"/>
          <w:szCs w:val="22"/>
        </w:rPr>
        <w:t xml:space="preserve">Considerando que a Resolução CAU/BR nº 193/2020 </w:t>
      </w:r>
      <w:r w:rsidR="00220DCA">
        <w:rPr>
          <w:rFonts w:asciiTheme="minorHAnsi" w:hAnsiTheme="minorHAnsi" w:cstheme="minorHAnsi"/>
          <w:sz w:val="22"/>
          <w:szCs w:val="22"/>
        </w:rPr>
        <w:t>não é</w:t>
      </w:r>
      <w:r w:rsidR="002850D7" w:rsidRPr="00220DCA">
        <w:rPr>
          <w:rFonts w:asciiTheme="minorHAnsi" w:hAnsiTheme="minorHAnsi" w:cstheme="minorHAnsi"/>
          <w:sz w:val="22"/>
          <w:szCs w:val="22"/>
        </w:rPr>
        <w:t xml:space="preserve"> clara quanto aos processos de fiscalização e ética, tratando de forma mais específica apenas dos processos de cobranças de anuidade</w:t>
      </w:r>
      <w:r w:rsidR="00FE16AB" w:rsidRPr="00220DCA">
        <w:rPr>
          <w:rFonts w:asciiTheme="minorHAnsi" w:hAnsiTheme="minorHAnsi" w:cstheme="minorHAnsi"/>
          <w:sz w:val="22"/>
          <w:szCs w:val="22"/>
        </w:rPr>
        <w:t>;</w:t>
      </w:r>
      <w:r w:rsidRPr="00220DC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3476" w:rsidRPr="00220DCA" w:rsidRDefault="00CC3476" w:rsidP="00380D7A">
      <w:pPr>
        <w:pStyle w:val="NormalWeb"/>
        <w:shd w:val="clear" w:color="auto" w:fill="FFFFFF"/>
        <w:spacing w:before="75" w:after="75"/>
        <w:jc w:val="both"/>
        <w:rPr>
          <w:rFonts w:asciiTheme="minorHAnsi" w:hAnsiTheme="minorHAnsi" w:cstheme="minorHAnsi"/>
          <w:sz w:val="22"/>
          <w:szCs w:val="22"/>
        </w:rPr>
      </w:pPr>
    </w:p>
    <w:p w:rsidR="00380D7A" w:rsidRPr="00220DCA" w:rsidRDefault="00380D7A" w:rsidP="00380D7A">
      <w:pPr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</w:rPr>
      </w:pPr>
      <w:r w:rsidRPr="00220DCA">
        <w:rPr>
          <w:rFonts w:asciiTheme="minorHAnsi" w:hAnsiTheme="minorHAnsi" w:cstheme="minorHAnsi"/>
          <w:b/>
          <w:sz w:val="22"/>
          <w:szCs w:val="22"/>
        </w:rPr>
        <w:t>DELIBERA</w:t>
      </w:r>
      <w:r w:rsidRPr="00220DCA">
        <w:rPr>
          <w:rFonts w:asciiTheme="minorHAnsi" w:hAnsiTheme="minorHAnsi" w:cstheme="minorHAnsi"/>
          <w:sz w:val="22"/>
          <w:szCs w:val="22"/>
        </w:rPr>
        <w:t>:</w:t>
      </w:r>
    </w:p>
    <w:p w:rsidR="0080734D" w:rsidRDefault="0080734D" w:rsidP="0080734D">
      <w:pPr>
        <w:pStyle w:val="PargrafodaLista"/>
        <w:numPr>
          <w:ilvl w:val="0"/>
          <w:numId w:val="22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acolher a Deliberação n. 062/2022 – CEP-CAU/RS, observando:</w:t>
      </w:r>
    </w:p>
    <w:p w:rsidR="0080734D" w:rsidRDefault="0080734D" w:rsidP="0080734D">
      <w:pPr>
        <w:pStyle w:val="PargrafodaLista"/>
        <w:numPr>
          <w:ilvl w:val="1"/>
          <w:numId w:val="22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EA207C" w:rsidRPr="0080734D">
        <w:rPr>
          <w:rFonts w:asciiTheme="minorHAnsi" w:hAnsiTheme="minorHAnsi" w:cstheme="minorHAnsi"/>
          <w:sz w:val="22"/>
          <w:szCs w:val="22"/>
        </w:rPr>
        <w:t>aplicação da Resolução nº. 193, alterada pela Resolução CAU/BR n.º 211/2021, em relação à cobrança de multa de mora sobre multas, atendend</w:t>
      </w:r>
      <w:r w:rsidR="00EF73BD" w:rsidRPr="0080734D">
        <w:rPr>
          <w:rFonts w:asciiTheme="minorHAnsi" w:hAnsiTheme="minorHAnsi" w:cstheme="minorHAnsi"/>
          <w:sz w:val="22"/>
          <w:szCs w:val="22"/>
        </w:rPr>
        <w:t>o ao disposto no art. 10</w:t>
      </w:r>
      <w:r w:rsidR="00EA207C" w:rsidRPr="0080734D">
        <w:rPr>
          <w:rFonts w:asciiTheme="minorHAnsi" w:hAnsiTheme="minorHAnsi" w:cstheme="minorHAnsi"/>
          <w:sz w:val="22"/>
          <w:szCs w:val="22"/>
        </w:rPr>
        <w:t xml:space="preserve"> da Resolução n.º 193</w:t>
      </w:r>
      <w:r w:rsidR="00EF73BD" w:rsidRPr="0080734D">
        <w:rPr>
          <w:rFonts w:asciiTheme="minorHAnsi" w:hAnsiTheme="minorHAnsi" w:cstheme="minorHAnsi"/>
          <w:sz w:val="22"/>
          <w:szCs w:val="22"/>
        </w:rPr>
        <w:t xml:space="preserve"> (serão acrescidas de correção com base na variação da Taxa Referencial do Sistema Especial de Liquidação e de Custódia (SELIC), calculada desde o primeiro dia de atraso até o último dia do mês antecedente ao do pagamento, e juros de 1% (um por cento) no mês do pagamento)</w:t>
      </w:r>
      <w:r w:rsidR="00EA207C" w:rsidRPr="0080734D">
        <w:rPr>
          <w:rFonts w:asciiTheme="minorHAnsi" w:hAnsiTheme="minorHAnsi" w:cstheme="minorHAnsi"/>
          <w:sz w:val="22"/>
          <w:szCs w:val="22"/>
        </w:rPr>
        <w:t>;</w:t>
      </w:r>
    </w:p>
    <w:p w:rsidR="00220DCA" w:rsidRPr="00CC3476" w:rsidRDefault="0080734D" w:rsidP="00220DCA">
      <w:pPr>
        <w:pStyle w:val="PargrafodaLista"/>
        <w:numPr>
          <w:ilvl w:val="1"/>
          <w:numId w:val="22"/>
        </w:numPr>
        <w:tabs>
          <w:tab w:val="left" w:pos="284"/>
          <w:tab w:val="left" w:pos="1418"/>
        </w:tabs>
        <w:suppressAutoHyphens/>
        <w:autoSpaceDN w:val="0"/>
        <w:spacing w:before="120" w:after="120"/>
        <w:jc w:val="both"/>
        <w:textAlignment w:val="baseline"/>
        <w:rPr>
          <w:rFonts w:asciiTheme="minorHAnsi" w:hAnsiTheme="minorHAnsi" w:cstheme="minorHAnsi"/>
        </w:rPr>
      </w:pPr>
      <w:r w:rsidRPr="00CC3476">
        <w:rPr>
          <w:rFonts w:asciiTheme="minorHAnsi" w:hAnsiTheme="minorHAnsi" w:cstheme="minorHAnsi"/>
          <w:sz w:val="22"/>
          <w:szCs w:val="22"/>
        </w:rPr>
        <w:t>Que</w:t>
      </w:r>
      <w:r w:rsidR="00C166B5" w:rsidRPr="00CC3476">
        <w:rPr>
          <w:rFonts w:asciiTheme="minorHAnsi" w:hAnsiTheme="minorHAnsi" w:cstheme="minorHAnsi"/>
          <w:sz w:val="22"/>
          <w:szCs w:val="22"/>
        </w:rPr>
        <w:t xml:space="preserve"> a correção</w:t>
      </w:r>
      <w:r w:rsidR="00CC3476" w:rsidRPr="00CC3476">
        <w:rPr>
          <w:rFonts w:asciiTheme="minorHAnsi" w:hAnsiTheme="minorHAnsi" w:cstheme="minorHAnsi"/>
          <w:sz w:val="22"/>
          <w:szCs w:val="22"/>
        </w:rPr>
        <w:t xml:space="preserve"> se dará</w:t>
      </w:r>
      <w:r w:rsidR="00C166B5" w:rsidRPr="00CC3476">
        <w:rPr>
          <w:rFonts w:asciiTheme="minorHAnsi" w:hAnsiTheme="minorHAnsi" w:cstheme="minorHAnsi"/>
          <w:sz w:val="22"/>
          <w:szCs w:val="22"/>
        </w:rPr>
        <w:t xml:space="preserve"> pela </w:t>
      </w:r>
      <w:r w:rsidR="00CC3476" w:rsidRPr="00CC3476">
        <w:rPr>
          <w:rFonts w:asciiTheme="minorHAnsi" w:hAnsiTheme="minorHAnsi" w:cstheme="minorHAnsi"/>
          <w:sz w:val="22"/>
          <w:szCs w:val="22"/>
        </w:rPr>
        <w:t xml:space="preserve">taxa </w:t>
      </w:r>
      <w:r w:rsidR="00DC1058" w:rsidRPr="00CC3476">
        <w:rPr>
          <w:rFonts w:asciiTheme="minorHAnsi" w:hAnsiTheme="minorHAnsi" w:cstheme="minorHAnsi"/>
          <w:sz w:val="22"/>
          <w:szCs w:val="22"/>
        </w:rPr>
        <w:t>Selic</w:t>
      </w:r>
      <w:r w:rsidR="00CC3476" w:rsidRPr="00CC3476">
        <w:rPr>
          <w:rFonts w:asciiTheme="minorHAnsi" w:hAnsiTheme="minorHAnsi" w:cstheme="minorHAnsi"/>
          <w:sz w:val="22"/>
          <w:szCs w:val="22"/>
        </w:rPr>
        <w:t>, a</w:t>
      </w:r>
      <w:r w:rsidR="00DC1058" w:rsidRPr="00CC3476">
        <w:rPr>
          <w:rFonts w:asciiTheme="minorHAnsi" w:hAnsiTheme="minorHAnsi" w:cstheme="minorHAnsi"/>
          <w:sz w:val="22"/>
          <w:szCs w:val="22"/>
        </w:rPr>
        <w:t xml:space="preserve"> partir do trânsito em julgado do processo, </w:t>
      </w:r>
      <w:r w:rsidR="00D52191">
        <w:rPr>
          <w:rFonts w:asciiTheme="minorHAnsi" w:hAnsiTheme="minorHAnsi" w:cstheme="minorHAnsi"/>
          <w:sz w:val="22"/>
          <w:szCs w:val="22"/>
        </w:rPr>
        <w:t>que se configura após o envio de</w:t>
      </w:r>
      <w:r w:rsidR="00DC1058" w:rsidRPr="00CC3476">
        <w:rPr>
          <w:rFonts w:asciiTheme="minorHAnsi" w:hAnsiTheme="minorHAnsi" w:cstheme="minorHAnsi"/>
          <w:sz w:val="22"/>
          <w:szCs w:val="22"/>
        </w:rPr>
        <w:t xml:space="preserve"> ofício </w:t>
      </w:r>
      <w:r w:rsidR="0065370C">
        <w:rPr>
          <w:rFonts w:asciiTheme="minorHAnsi" w:hAnsiTheme="minorHAnsi" w:cstheme="minorHAnsi"/>
          <w:sz w:val="22"/>
          <w:szCs w:val="22"/>
        </w:rPr>
        <w:t xml:space="preserve">informando do trânsito em julgado </w:t>
      </w:r>
      <w:r w:rsidR="00DC1058" w:rsidRPr="00CC3476">
        <w:rPr>
          <w:rFonts w:asciiTheme="minorHAnsi" w:hAnsiTheme="minorHAnsi" w:cstheme="minorHAnsi"/>
          <w:sz w:val="22"/>
          <w:szCs w:val="22"/>
        </w:rPr>
        <w:t xml:space="preserve">com o </w:t>
      </w:r>
      <w:r w:rsidR="00D52191">
        <w:rPr>
          <w:rFonts w:asciiTheme="minorHAnsi" w:hAnsiTheme="minorHAnsi" w:cstheme="minorHAnsi"/>
          <w:sz w:val="22"/>
          <w:szCs w:val="22"/>
        </w:rPr>
        <w:t>boleto do valor devido</w:t>
      </w:r>
      <w:r w:rsidR="00DC1058" w:rsidRPr="00CC3476">
        <w:rPr>
          <w:rFonts w:asciiTheme="minorHAnsi" w:hAnsiTheme="minorHAnsi" w:cstheme="minorHAnsi"/>
          <w:sz w:val="22"/>
          <w:szCs w:val="22"/>
        </w:rPr>
        <w:t xml:space="preserve"> à parte</w:t>
      </w:r>
      <w:r w:rsidR="00A17DCE" w:rsidRPr="00CC3476">
        <w:rPr>
          <w:rFonts w:asciiTheme="minorHAnsi" w:hAnsiTheme="minorHAnsi" w:cstheme="minorHAnsi"/>
          <w:sz w:val="22"/>
          <w:szCs w:val="22"/>
        </w:rPr>
        <w:t xml:space="preserve"> requerente</w:t>
      </w:r>
      <w:r w:rsidR="00CC3476" w:rsidRPr="00CC3476">
        <w:rPr>
          <w:rFonts w:asciiTheme="minorHAnsi" w:hAnsiTheme="minorHAnsi" w:cstheme="minorHAnsi"/>
          <w:sz w:val="22"/>
          <w:szCs w:val="22"/>
        </w:rPr>
        <w:t>;</w:t>
      </w:r>
    </w:p>
    <w:p w:rsidR="00CC3476" w:rsidRPr="00CC3476" w:rsidRDefault="00CC3476" w:rsidP="00CC3476">
      <w:pPr>
        <w:pStyle w:val="PargrafodaLista"/>
        <w:tabs>
          <w:tab w:val="left" w:pos="284"/>
          <w:tab w:val="left" w:pos="1418"/>
        </w:tabs>
        <w:suppressAutoHyphens/>
        <w:autoSpaceDN w:val="0"/>
        <w:spacing w:before="120" w:after="120"/>
        <w:ind w:left="1440"/>
        <w:jc w:val="both"/>
        <w:textAlignment w:val="baseline"/>
        <w:rPr>
          <w:rFonts w:asciiTheme="minorHAnsi" w:hAnsiTheme="minorHAnsi" w:cstheme="minorHAnsi"/>
        </w:rPr>
      </w:pPr>
    </w:p>
    <w:p w:rsidR="00220DCA" w:rsidRPr="00220DCA" w:rsidRDefault="00220DCA" w:rsidP="00220DCA">
      <w:pPr>
        <w:pStyle w:val="PargrafodaLista"/>
        <w:numPr>
          <w:ilvl w:val="0"/>
          <w:numId w:val="22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0DCA">
        <w:rPr>
          <w:rFonts w:asciiTheme="minorHAnsi" w:hAnsiTheme="minorHAnsi" w:cstheme="minorHAnsi"/>
          <w:sz w:val="22"/>
          <w:szCs w:val="22"/>
        </w:rPr>
        <w:t>Pelo encaminhamento desta deliberação à Presidência do CAU/RS para conhecimento e a</w:t>
      </w:r>
      <w:r w:rsidR="00D827F6">
        <w:rPr>
          <w:rFonts w:asciiTheme="minorHAnsi" w:hAnsiTheme="minorHAnsi" w:cstheme="minorHAnsi"/>
          <w:sz w:val="22"/>
          <w:szCs w:val="22"/>
        </w:rPr>
        <w:t>preciação do Plenário do CAU/RS.</w:t>
      </w:r>
      <w:bookmarkStart w:id="0" w:name="_GoBack"/>
      <w:bookmarkEnd w:id="0"/>
    </w:p>
    <w:p w:rsidR="00220DCA" w:rsidRPr="00220DCA" w:rsidRDefault="00220DCA" w:rsidP="00220DCA">
      <w:pPr>
        <w:pStyle w:val="PargrafodaLista"/>
        <w:tabs>
          <w:tab w:val="left" w:pos="284"/>
        </w:tabs>
        <w:suppressAutoHyphens/>
        <w:autoSpaceDN w:val="0"/>
        <w:spacing w:before="120" w:after="120"/>
        <w:ind w:left="284"/>
        <w:contextualSpacing w:val="0"/>
        <w:jc w:val="both"/>
        <w:textAlignment w:val="baseline"/>
        <w:rPr>
          <w:rFonts w:asciiTheme="minorHAnsi" w:hAnsiTheme="minorHAnsi" w:cstheme="minorHAnsi"/>
        </w:rPr>
      </w:pPr>
    </w:p>
    <w:p w:rsidR="00216515" w:rsidRPr="00220DC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607838" w:rsidRPr="00220DCA" w:rsidRDefault="00607838" w:rsidP="006078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 w:rsidR="007721A9"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>0</w:t>
      </w:r>
      <w:r w:rsidR="00600682"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4 </w:t>
      </w:r>
      <w:r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>votos favoráveis</w:t>
      </w:r>
      <w:r w:rsidR="00600682"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dos conselheiros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Carlos Eduardo I</w:t>
      </w:r>
      <w:r w:rsidR="002A0750" w:rsidRPr="00220DCA">
        <w:rPr>
          <w:rFonts w:asciiTheme="minorHAnsi" w:hAnsiTheme="minorHAnsi" w:cstheme="minorHAnsi"/>
          <w:sz w:val="22"/>
          <w:szCs w:val="22"/>
          <w:lang w:eastAsia="pt-BR"/>
        </w:rPr>
        <w:t>ponema Costa</w:t>
      </w:r>
      <w:r w:rsidR="00A54987"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600682"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Fausto Henrique Steffen, </w:t>
      </w:r>
      <w:r w:rsidR="00A54987" w:rsidRPr="00220DCA">
        <w:rPr>
          <w:rFonts w:asciiTheme="minorHAnsi" w:hAnsiTheme="minorHAnsi" w:cstheme="minorHAnsi"/>
          <w:sz w:val="22"/>
          <w:szCs w:val="22"/>
          <w:lang w:eastAsia="pt-BR"/>
        </w:rPr>
        <w:t>Lídia Glacir Gomes Rodrigues</w:t>
      </w:r>
      <w:r w:rsidR="002A0750"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="00124D4B"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A0750" w:rsidRPr="00220DCA">
        <w:rPr>
          <w:rFonts w:asciiTheme="minorHAnsi" w:hAnsiTheme="minorHAnsi" w:cstheme="minorHAnsi"/>
          <w:sz w:val="22"/>
          <w:szCs w:val="22"/>
          <w:lang w:eastAsia="pt-BR"/>
        </w:rPr>
        <w:t>Orildes Tres</w:t>
      </w:r>
      <w:r w:rsidR="00CE5A99" w:rsidRPr="00220DC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220DCA" w:rsidRDefault="00216515" w:rsidP="00216515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="00216515" w:rsidRPr="00220DC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C258E" w:rsidRPr="00220DCA" w:rsidRDefault="00216515" w:rsidP="003645DD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220DCA">
        <w:rPr>
          <w:rFonts w:asciiTheme="minorHAnsi" w:hAnsiTheme="minorHAnsi" w:cstheme="minorHAnsi"/>
          <w:sz w:val="22"/>
          <w:szCs w:val="22"/>
          <w:lang w:eastAsia="pt-BR"/>
        </w:rPr>
        <w:t>11</w:t>
      </w:r>
      <w:r w:rsidR="00FD23B5"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220DCA">
        <w:rPr>
          <w:rFonts w:asciiTheme="minorHAnsi" w:hAnsiTheme="minorHAnsi" w:cstheme="minorHAnsi"/>
          <w:sz w:val="22"/>
          <w:szCs w:val="22"/>
          <w:lang w:eastAsia="pt-BR"/>
        </w:rPr>
        <w:t>outubro</w:t>
      </w:r>
      <w:r w:rsidR="00607838"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de 2022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AC258E" w:rsidRPr="00220DCA" w:rsidRDefault="00AC258E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220DCA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220DCA" w:rsidRDefault="00607838" w:rsidP="00C5729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</w:rPr>
      </w:pPr>
      <w:r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FAUSTO </w:t>
      </w:r>
      <w:r w:rsidR="00334190"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HENRIQUE </w:t>
      </w:r>
      <w:r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>STEFFEN</w:t>
      </w:r>
    </w:p>
    <w:p w:rsidR="005B039E" w:rsidRPr="00220DCA" w:rsidRDefault="00216515" w:rsidP="003645DD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20DCA">
        <w:rPr>
          <w:rFonts w:asciiTheme="minorHAnsi" w:eastAsia="Calibri" w:hAnsiTheme="minorHAnsi" w:cstheme="minorHAnsi"/>
          <w:sz w:val="22"/>
          <w:szCs w:val="22"/>
          <w:lang w:eastAsia="pt-BR"/>
        </w:rPr>
        <w:t>Coordenador</w:t>
      </w:r>
      <w:r w:rsidR="00607838" w:rsidRPr="00220DCA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</w:t>
      </w:r>
      <w:r w:rsidRPr="00220DCA">
        <w:rPr>
          <w:rFonts w:asciiTheme="minorHAnsi" w:eastAsia="Calibri" w:hAnsiTheme="minorHAnsi" w:cstheme="minorHAnsi"/>
          <w:sz w:val="22"/>
          <w:szCs w:val="22"/>
          <w:lang w:eastAsia="pt-BR"/>
        </w:rPr>
        <w:t>da CPFI-CAU/RS</w:t>
      </w:r>
    </w:p>
    <w:sectPr w:rsidR="005B039E" w:rsidRPr="00220DCA" w:rsidSect="00123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4D" w:rsidRDefault="0080734D" w:rsidP="004C3048">
      <w:r>
        <w:separator/>
      </w:r>
    </w:p>
  </w:endnote>
  <w:endnote w:type="continuationSeparator" w:id="0">
    <w:p w:rsidR="0080734D" w:rsidRDefault="0080734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4D" w:rsidRPr="005950FA" w:rsidRDefault="0080734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0734D" w:rsidRPr="005F2A2D" w:rsidRDefault="0080734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4D" w:rsidRPr="0093154B" w:rsidRDefault="0080734D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0734D" w:rsidRPr="003F1946" w:rsidRDefault="0080734D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27F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80734D" w:rsidRPr="003F1946" w:rsidRDefault="0080734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0734D" w:rsidRPr="00FC6A2F" w:rsidRDefault="0080734D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0734D" w:rsidRDefault="0080734D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4D" w:rsidRPr="0093154B" w:rsidRDefault="0080734D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0734D" w:rsidRDefault="0080734D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0734D" w:rsidRPr="003F1946" w:rsidRDefault="0080734D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80734D" w:rsidRPr="003F1946" w:rsidRDefault="0080734D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4D" w:rsidRDefault="0080734D" w:rsidP="004C3048">
      <w:r>
        <w:separator/>
      </w:r>
    </w:p>
  </w:footnote>
  <w:footnote w:type="continuationSeparator" w:id="0">
    <w:p w:rsidR="0080734D" w:rsidRDefault="0080734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4D" w:rsidRPr="009E4E5A" w:rsidRDefault="0080734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4D" w:rsidRPr="009E4E5A" w:rsidRDefault="0080734D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4D" w:rsidRDefault="0080734D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34D" w:rsidRDefault="008073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0D7E83"/>
    <w:multiLevelType w:val="multilevel"/>
    <w:tmpl w:val="639E31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>
    <w:nsid w:val="15C72AA0"/>
    <w:multiLevelType w:val="multilevel"/>
    <w:tmpl w:val="C88E6DF8"/>
    <w:lvl w:ilvl="0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321C0FFA"/>
    <w:multiLevelType w:val="multilevel"/>
    <w:tmpl w:val="28CC8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4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8"/>
  </w:num>
  <w:num w:numId="5">
    <w:abstractNumId w:val="11"/>
  </w:num>
  <w:num w:numId="6">
    <w:abstractNumId w:val="20"/>
  </w:num>
  <w:num w:numId="7">
    <w:abstractNumId w:val="9"/>
  </w:num>
  <w:num w:numId="8">
    <w:abstractNumId w:val="13"/>
  </w:num>
  <w:num w:numId="9">
    <w:abstractNumId w:val="16"/>
  </w:num>
  <w:num w:numId="10">
    <w:abstractNumId w:val="0"/>
  </w:num>
  <w:num w:numId="11">
    <w:abstractNumId w:val="12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7"/>
  </w:num>
  <w:num w:numId="16">
    <w:abstractNumId w:val="6"/>
  </w:num>
  <w:num w:numId="17">
    <w:abstractNumId w:val="2"/>
  </w:num>
  <w:num w:numId="18">
    <w:abstractNumId w:val="19"/>
  </w:num>
  <w:num w:numId="19">
    <w:abstractNumId w:val="14"/>
  </w:num>
  <w:num w:numId="20">
    <w:abstractNumId w:val="21"/>
  </w:num>
  <w:num w:numId="21">
    <w:abstractNumId w:val="18"/>
  </w:num>
  <w:num w:numId="22">
    <w:abstractNumId w:val="1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C556F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24D4B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1194"/>
    <w:rsid w:val="001E56D2"/>
    <w:rsid w:val="001F61E5"/>
    <w:rsid w:val="002100A1"/>
    <w:rsid w:val="00210207"/>
    <w:rsid w:val="00210AE4"/>
    <w:rsid w:val="00216131"/>
    <w:rsid w:val="00216515"/>
    <w:rsid w:val="00220A16"/>
    <w:rsid w:val="00220DCA"/>
    <w:rsid w:val="00240AD8"/>
    <w:rsid w:val="00242D37"/>
    <w:rsid w:val="00244899"/>
    <w:rsid w:val="00246F88"/>
    <w:rsid w:val="0025277E"/>
    <w:rsid w:val="00266DB8"/>
    <w:rsid w:val="00273DAF"/>
    <w:rsid w:val="00280F33"/>
    <w:rsid w:val="00283296"/>
    <w:rsid w:val="00284430"/>
    <w:rsid w:val="002850D7"/>
    <w:rsid w:val="00285A83"/>
    <w:rsid w:val="0029004B"/>
    <w:rsid w:val="00295FD5"/>
    <w:rsid w:val="002974CF"/>
    <w:rsid w:val="002A0750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3AC3"/>
    <w:rsid w:val="00314A85"/>
    <w:rsid w:val="00315F9E"/>
    <w:rsid w:val="00320980"/>
    <w:rsid w:val="00321790"/>
    <w:rsid w:val="00334190"/>
    <w:rsid w:val="003411BA"/>
    <w:rsid w:val="00347324"/>
    <w:rsid w:val="003557D1"/>
    <w:rsid w:val="00360A08"/>
    <w:rsid w:val="00360B6E"/>
    <w:rsid w:val="00362F5C"/>
    <w:rsid w:val="003645DD"/>
    <w:rsid w:val="00367DAC"/>
    <w:rsid w:val="00367DF3"/>
    <w:rsid w:val="003759C6"/>
    <w:rsid w:val="00377DB5"/>
    <w:rsid w:val="00380D7A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26A81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0306"/>
    <w:rsid w:val="00520EE6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E7DE4"/>
    <w:rsid w:val="005F47CB"/>
    <w:rsid w:val="00600682"/>
    <w:rsid w:val="00601FB6"/>
    <w:rsid w:val="00603DA6"/>
    <w:rsid w:val="0060634C"/>
    <w:rsid w:val="00607838"/>
    <w:rsid w:val="006130EF"/>
    <w:rsid w:val="00614679"/>
    <w:rsid w:val="006326C4"/>
    <w:rsid w:val="00633BEB"/>
    <w:rsid w:val="006340C8"/>
    <w:rsid w:val="00637577"/>
    <w:rsid w:val="006444D9"/>
    <w:rsid w:val="0065370C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425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0F7C"/>
    <w:rsid w:val="007721A9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D552C"/>
    <w:rsid w:val="007E0F80"/>
    <w:rsid w:val="007E4449"/>
    <w:rsid w:val="007E4EA8"/>
    <w:rsid w:val="007E77BE"/>
    <w:rsid w:val="007E7BBE"/>
    <w:rsid w:val="00805FC1"/>
    <w:rsid w:val="0080734D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E66FF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6D07"/>
    <w:rsid w:val="009B7574"/>
    <w:rsid w:val="009C581F"/>
    <w:rsid w:val="009C59CC"/>
    <w:rsid w:val="009D0886"/>
    <w:rsid w:val="009D27DA"/>
    <w:rsid w:val="009E3C4D"/>
    <w:rsid w:val="00A050DB"/>
    <w:rsid w:val="00A178A2"/>
    <w:rsid w:val="00A17DCE"/>
    <w:rsid w:val="00A20AB0"/>
    <w:rsid w:val="00A36A16"/>
    <w:rsid w:val="00A40ECC"/>
    <w:rsid w:val="00A43C37"/>
    <w:rsid w:val="00A53B52"/>
    <w:rsid w:val="00A54987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95336"/>
    <w:rsid w:val="00BB5E13"/>
    <w:rsid w:val="00BC44C0"/>
    <w:rsid w:val="00BC5658"/>
    <w:rsid w:val="00BC73B6"/>
    <w:rsid w:val="00BD0EB8"/>
    <w:rsid w:val="00BD3733"/>
    <w:rsid w:val="00BE13F9"/>
    <w:rsid w:val="00BE3775"/>
    <w:rsid w:val="00BE3FE1"/>
    <w:rsid w:val="00BE5B39"/>
    <w:rsid w:val="00BF08F2"/>
    <w:rsid w:val="00BF1410"/>
    <w:rsid w:val="00BF1D4C"/>
    <w:rsid w:val="00BF509C"/>
    <w:rsid w:val="00BF558A"/>
    <w:rsid w:val="00C0216B"/>
    <w:rsid w:val="00C038EA"/>
    <w:rsid w:val="00C14413"/>
    <w:rsid w:val="00C15B9D"/>
    <w:rsid w:val="00C166B5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3476"/>
    <w:rsid w:val="00CC5EB2"/>
    <w:rsid w:val="00CD0E69"/>
    <w:rsid w:val="00CE1359"/>
    <w:rsid w:val="00CE1737"/>
    <w:rsid w:val="00CE211B"/>
    <w:rsid w:val="00CE4E08"/>
    <w:rsid w:val="00CE5A99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2191"/>
    <w:rsid w:val="00D5478F"/>
    <w:rsid w:val="00D60D8E"/>
    <w:rsid w:val="00D62C61"/>
    <w:rsid w:val="00D67B4E"/>
    <w:rsid w:val="00D70D59"/>
    <w:rsid w:val="00D802D9"/>
    <w:rsid w:val="00D815AE"/>
    <w:rsid w:val="00D8266B"/>
    <w:rsid w:val="00D827F6"/>
    <w:rsid w:val="00D8349F"/>
    <w:rsid w:val="00D877E9"/>
    <w:rsid w:val="00D909AA"/>
    <w:rsid w:val="00D9278E"/>
    <w:rsid w:val="00D9535A"/>
    <w:rsid w:val="00DA4261"/>
    <w:rsid w:val="00DB238C"/>
    <w:rsid w:val="00DB4045"/>
    <w:rsid w:val="00DC1058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6D09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7C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EF73BD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16A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9A48-41BB-441A-AB54-6EA875AA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6</cp:revision>
  <cp:lastPrinted>2021-06-01T20:31:00Z</cp:lastPrinted>
  <dcterms:created xsi:type="dcterms:W3CDTF">2022-10-11T17:42:00Z</dcterms:created>
  <dcterms:modified xsi:type="dcterms:W3CDTF">2022-10-11T18:39:00Z</dcterms:modified>
</cp:coreProperties>
</file>