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6031AC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4F28E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6031AC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3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6031AC" w:rsidP="002F0A9D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06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76888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bookmarkStart w:id="0" w:name="_GoBack"/>
            <w:bookmarkEnd w:id="0"/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4F28E5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(Dona Laura 320-15º andar, Porto Alegre/RS)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0A2CF3" w:rsidRPr="00DF1176" w:rsidRDefault="000A2CF3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536C65" w:rsidRDefault="000A2CF3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532B1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Default="000A2CF3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532B1E" w:rsidRDefault="000A2CF3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Deise Flores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Default="000A2CF3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0A2CF3" w:rsidRPr="00DF1176" w:rsidTr="0099518E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CED-CAU/RS</w:t>
            </w:r>
          </w:p>
        </w:tc>
      </w:tr>
      <w:tr w:rsidR="000A2CF3" w:rsidRPr="00DF1176" w:rsidTr="0099518E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C7A3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1E21FE" w:rsidRDefault="000A2CF3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E21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32578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ra 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07A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0A2CF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0A2CF3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0A2CF3" w:rsidRPr="00DF1176" w:rsidRDefault="000A2CF3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0A2CF3" w:rsidRPr="000C7A3A" w:rsidRDefault="000A2CF3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CPC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77760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9518E" w:rsidRPr="009A4F9A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777600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7760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590B90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590B90" w:rsidRDefault="00590B90" w:rsidP="0093679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590B90" w:rsidRDefault="00590B90" w:rsidP="009B0B5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Ednezer Flores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590B90" w:rsidRDefault="00590B90" w:rsidP="009B0B5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Conselheiro Federal do CAU/RS</w:t>
            </w:r>
          </w:p>
        </w:tc>
      </w:tr>
      <w:tr w:rsidR="00590B90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590B90" w:rsidRDefault="00590B90" w:rsidP="00590B90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590B90" w:rsidRDefault="00590B90" w:rsidP="00590B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590B90" w:rsidRDefault="00590B90" w:rsidP="00590B90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7776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590B90" w:rsidP="00590B90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das reuniões anteriores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112E8E" w:rsidP="00590B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22</w:t>
            </w:r>
            <w:r w:rsidR="006031AC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7776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777600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4ª Reunião Extraordinária</w:t>
            </w:r>
            <w:r w:rsidR="00777600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, enviada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77600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fo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777600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4722E">
              <w:rPr>
                <w:rFonts w:asciiTheme="minorHAnsi" w:eastAsia="MS Mincho" w:hAnsiTheme="minorHAnsi" w:cstheme="minorHAnsi"/>
                <w:sz w:val="22"/>
                <w:szCs w:val="22"/>
              </w:rPr>
              <w:t>aprovada</w:t>
            </w:r>
            <w:r w:rsidR="00590B9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9472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unanimidade dos presentes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824ADA" w:rsidP="00824AD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590B90" w:rsidP="00590B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insere como </w:t>
            </w:r>
            <w:r w:rsidR="00AE1F6D">
              <w:rPr>
                <w:rFonts w:asciiTheme="minorHAnsi" w:hAnsiTheme="minorHAnsi" w:cstheme="minorHAnsi"/>
                <w:sz w:val="22"/>
                <w:szCs w:val="22"/>
              </w:rPr>
              <w:t>extra pauta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“Gabinete Paralelo”. Agradece a participação do conselheiro federal Ednezer Flores</w:t>
            </w:r>
            <w:r w:rsidR="00AE1F6D">
              <w:rPr>
                <w:rFonts w:asciiTheme="minorHAnsi" w:hAnsiTheme="minorHAnsi" w:cstheme="minorHAnsi"/>
                <w:sz w:val="22"/>
                <w:szCs w:val="22"/>
              </w:rPr>
              <w:t xml:space="preserve"> na reunião.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F60321" w:rsidRPr="00DF1176" w:rsidTr="001434CC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vAlign w:val="center"/>
          </w:tcPr>
          <w:p w:rsidR="007E0D03" w:rsidRPr="00F73E9A" w:rsidRDefault="006031AC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30A">
              <w:rPr>
                <w:rFonts w:ascii="Calibri" w:hAnsi="Calibri" w:cs="Calibri"/>
                <w:b/>
                <w:sz w:val="22"/>
                <w:szCs w:val="22"/>
              </w:rPr>
              <w:t>Planejamento Estratégico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Reprogramação do Plano de Ação 2022 e Projetos Estratégicos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vAlign w:val="center"/>
          </w:tcPr>
          <w:p w:rsidR="000E6C6E" w:rsidRPr="007A226C" w:rsidRDefault="006031AC" w:rsidP="000E6C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0E6C6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E6C6E" w:rsidRPr="00DF1176" w:rsidRDefault="000E6C6E" w:rsidP="000E6C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vAlign w:val="center"/>
          </w:tcPr>
          <w:p w:rsidR="000E6C6E" w:rsidRPr="007A226C" w:rsidRDefault="006031AC" w:rsidP="004E4458">
            <w:pPr>
              <w:rPr>
                <w:rFonts w:ascii="Calibri" w:hAnsi="Calibri" w:cs="Calibri"/>
                <w:sz w:val="22"/>
                <w:szCs w:val="22"/>
              </w:rPr>
            </w:pPr>
            <w:r w:rsidRPr="0000156D">
              <w:rPr>
                <w:rFonts w:ascii="Calibri" w:hAnsi="Calibri" w:cs="Calibri"/>
                <w:sz w:val="22"/>
                <w:szCs w:val="22"/>
              </w:rPr>
              <w:t xml:space="preserve">Tales </w:t>
            </w:r>
            <w:proofErr w:type="spellStart"/>
            <w:r w:rsidRPr="0000156D"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vAlign w:val="center"/>
          </w:tcPr>
          <w:p w:rsidR="003F32FD" w:rsidRDefault="0094722E" w:rsidP="00705A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diz </w:t>
            </w:r>
            <w:r w:rsidR="00590B90">
              <w:rPr>
                <w:rFonts w:asciiTheme="minorHAnsi" w:hAnsiTheme="minorHAnsi" w:cstheme="minorHAnsi"/>
                <w:sz w:val="22"/>
                <w:szCs w:val="22"/>
              </w:rPr>
              <w:t xml:space="preserve">que ainda não recebeu a nova previsão de receita do CAU/BR. A estimativa é que deve ser maior, até agora a arrecadação </w:t>
            </w:r>
            <w:r w:rsidR="00782798">
              <w:rPr>
                <w:rFonts w:asciiTheme="minorHAnsi" w:hAnsiTheme="minorHAnsi" w:cstheme="minorHAnsi"/>
                <w:sz w:val="22"/>
                <w:szCs w:val="22"/>
              </w:rPr>
              <w:t xml:space="preserve">está </w:t>
            </w:r>
            <w:r w:rsidR="00590B90">
              <w:rPr>
                <w:rFonts w:asciiTheme="minorHAnsi" w:hAnsiTheme="minorHAnsi" w:cstheme="minorHAnsi"/>
                <w:sz w:val="22"/>
                <w:szCs w:val="22"/>
              </w:rPr>
              <w:t>cerca de 20% a mais que o previsto no início do ano. Tem diversos projetos, atividades de gerências que não ficaram com o valor suficiente para todo o ano, muitas coisas para recuperar. O planejamento irá conversar com as comiss</w:t>
            </w:r>
            <w:r w:rsidR="00782798">
              <w:rPr>
                <w:rFonts w:asciiTheme="minorHAnsi" w:hAnsiTheme="minorHAnsi" w:cstheme="minorHAnsi"/>
                <w:sz w:val="22"/>
                <w:szCs w:val="22"/>
              </w:rPr>
              <w:t>ões para e</w:t>
            </w:r>
            <w:r w:rsidR="00590B90">
              <w:rPr>
                <w:rFonts w:asciiTheme="minorHAnsi" w:hAnsiTheme="minorHAnsi" w:cstheme="minorHAnsi"/>
                <w:sz w:val="22"/>
                <w:szCs w:val="22"/>
              </w:rPr>
              <w:t>stimar</w:t>
            </w:r>
            <w:r w:rsidR="00782798">
              <w:rPr>
                <w:rFonts w:asciiTheme="minorHAnsi" w:hAnsiTheme="minorHAnsi" w:cstheme="minorHAnsi"/>
                <w:sz w:val="22"/>
                <w:szCs w:val="22"/>
              </w:rPr>
              <w:t xml:space="preserve"> novamente</w:t>
            </w:r>
            <w:r w:rsidR="001B2BCC">
              <w:rPr>
                <w:rFonts w:asciiTheme="minorHAnsi" w:hAnsiTheme="minorHAnsi" w:cstheme="minorHAnsi"/>
                <w:sz w:val="22"/>
                <w:szCs w:val="22"/>
              </w:rPr>
              <w:t xml:space="preserve"> as despesas das comissões. Informa que o</w:t>
            </w:r>
            <w:r w:rsidR="00590B90">
              <w:rPr>
                <w:rFonts w:asciiTheme="minorHAnsi" w:hAnsiTheme="minorHAnsi" w:cstheme="minorHAnsi"/>
                <w:sz w:val="22"/>
                <w:szCs w:val="22"/>
              </w:rPr>
              <w:t xml:space="preserve"> turno da tarde do dia da plenária </w:t>
            </w:r>
            <w:r w:rsidR="001B2BCC">
              <w:rPr>
                <w:rFonts w:asciiTheme="minorHAnsi" w:hAnsiTheme="minorHAnsi" w:cstheme="minorHAnsi"/>
                <w:sz w:val="22"/>
                <w:szCs w:val="22"/>
              </w:rPr>
              <w:t xml:space="preserve">de maio </w:t>
            </w:r>
            <w:r w:rsidR="00590B90">
              <w:rPr>
                <w:rFonts w:asciiTheme="minorHAnsi" w:hAnsiTheme="minorHAnsi" w:cstheme="minorHAnsi"/>
                <w:sz w:val="22"/>
                <w:szCs w:val="22"/>
              </w:rPr>
              <w:t xml:space="preserve">será de convenção do planejamento </w:t>
            </w:r>
            <w:r w:rsidR="00782798">
              <w:rPr>
                <w:rFonts w:asciiTheme="minorHAnsi" w:hAnsiTheme="minorHAnsi" w:cstheme="minorHAnsi"/>
                <w:sz w:val="22"/>
                <w:szCs w:val="22"/>
              </w:rPr>
              <w:t xml:space="preserve">estratégico. O presidente cita que este ano ainda não foi pago o valor do CSC devido ao envio da planilha errada. </w:t>
            </w:r>
            <w:r w:rsidR="000C5542">
              <w:rPr>
                <w:rFonts w:asciiTheme="minorHAnsi" w:hAnsiTheme="minorHAnsi" w:cstheme="minorHAnsi"/>
                <w:sz w:val="22"/>
                <w:szCs w:val="22"/>
              </w:rPr>
              <w:t>A secretária Josiane fala da</w:t>
            </w:r>
            <w:r w:rsidR="001B2BCC">
              <w:rPr>
                <w:rFonts w:asciiTheme="minorHAnsi" w:hAnsiTheme="minorHAnsi" w:cstheme="minorHAnsi"/>
                <w:sz w:val="22"/>
                <w:szCs w:val="22"/>
              </w:rPr>
              <w:t xml:space="preserve"> intenção de</w:t>
            </w:r>
            <w:r w:rsidR="000C5542">
              <w:rPr>
                <w:rFonts w:asciiTheme="minorHAnsi" w:hAnsiTheme="minorHAnsi" w:cstheme="minorHAnsi"/>
                <w:sz w:val="22"/>
                <w:szCs w:val="22"/>
              </w:rPr>
              <w:t xml:space="preserve"> distribuição da gestão do </w:t>
            </w:r>
            <w:r w:rsidR="001B2BCC">
              <w:rPr>
                <w:rFonts w:asciiTheme="minorHAnsi" w:hAnsiTheme="minorHAnsi" w:cstheme="minorHAnsi"/>
                <w:sz w:val="22"/>
                <w:szCs w:val="22"/>
              </w:rPr>
              <w:t>SICCAU</w:t>
            </w:r>
            <w:r w:rsidR="000C5542">
              <w:rPr>
                <w:rFonts w:asciiTheme="minorHAnsi" w:hAnsiTheme="minorHAnsi" w:cstheme="minorHAnsi"/>
                <w:sz w:val="22"/>
                <w:szCs w:val="22"/>
              </w:rPr>
              <w:t xml:space="preserve"> no que é possível, </w:t>
            </w:r>
            <w:r w:rsidR="00705A9E">
              <w:rPr>
                <w:rFonts w:asciiTheme="minorHAnsi" w:hAnsiTheme="minorHAnsi" w:cstheme="minorHAnsi"/>
                <w:sz w:val="22"/>
                <w:szCs w:val="22"/>
              </w:rPr>
              <w:t>da revis</w:t>
            </w:r>
            <w:r w:rsidR="0072651E">
              <w:rPr>
                <w:rFonts w:asciiTheme="minorHAnsi" w:hAnsiTheme="minorHAnsi" w:cstheme="minorHAnsi"/>
                <w:sz w:val="22"/>
                <w:szCs w:val="22"/>
              </w:rPr>
              <w:t>ão da R</w:t>
            </w:r>
            <w:r w:rsidR="00705A9E">
              <w:rPr>
                <w:rFonts w:asciiTheme="minorHAnsi" w:hAnsiTheme="minorHAnsi" w:cstheme="minorHAnsi"/>
                <w:sz w:val="22"/>
                <w:szCs w:val="22"/>
              </w:rPr>
              <w:t>esoluç</w:t>
            </w:r>
            <w:r w:rsidR="0072651E">
              <w:rPr>
                <w:rFonts w:asciiTheme="minorHAnsi" w:hAnsiTheme="minorHAnsi" w:cstheme="minorHAnsi"/>
                <w:sz w:val="22"/>
                <w:szCs w:val="22"/>
              </w:rPr>
              <w:t>ão N</w:t>
            </w:r>
            <w:r w:rsidR="00705A9E">
              <w:rPr>
                <w:rFonts w:asciiTheme="minorHAnsi" w:hAnsiTheme="minorHAnsi" w:cstheme="minorHAnsi"/>
                <w:sz w:val="22"/>
                <w:szCs w:val="22"/>
              </w:rPr>
              <w:t xml:space="preserve">º 126, </w:t>
            </w:r>
            <w:r w:rsidR="001B2BCC">
              <w:rPr>
                <w:rFonts w:asciiTheme="minorHAnsi" w:hAnsiTheme="minorHAnsi" w:cstheme="minorHAnsi"/>
                <w:sz w:val="22"/>
                <w:szCs w:val="22"/>
              </w:rPr>
              <w:t>e complementa que o CAU/RS não pagará</w:t>
            </w:r>
            <w:r w:rsidR="000C5542">
              <w:rPr>
                <w:rFonts w:asciiTheme="minorHAnsi" w:hAnsiTheme="minorHAnsi" w:cstheme="minorHAnsi"/>
                <w:sz w:val="22"/>
                <w:szCs w:val="22"/>
              </w:rPr>
              <w:t xml:space="preserve"> o CSC </w:t>
            </w:r>
            <w:r w:rsidR="000C55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enquanto </w:t>
            </w:r>
            <w:r w:rsidR="00705A9E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r w:rsidR="001B2BCC">
              <w:rPr>
                <w:rFonts w:asciiTheme="minorHAnsi" w:hAnsiTheme="minorHAnsi" w:cstheme="minorHAnsi"/>
                <w:sz w:val="22"/>
                <w:szCs w:val="22"/>
              </w:rPr>
              <w:t xml:space="preserve"> houver um</w:t>
            </w:r>
            <w:r w:rsidR="000C5542">
              <w:rPr>
                <w:rFonts w:asciiTheme="minorHAnsi" w:hAnsiTheme="minorHAnsi" w:cstheme="minorHAnsi"/>
                <w:sz w:val="22"/>
                <w:szCs w:val="22"/>
              </w:rPr>
              <w:t xml:space="preserve"> contrato, a minuta </w:t>
            </w:r>
            <w:r w:rsidR="001B2BCC">
              <w:rPr>
                <w:rFonts w:asciiTheme="minorHAnsi" w:hAnsiTheme="minorHAnsi" w:cstheme="minorHAnsi"/>
                <w:sz w:val="22"/>
                <w:szCs w:val="22"/>
              </w:rPr>
              <w:t>do mesmo está sendo revisada</w:t>
            </w:r>
            <w:r w:rsidR="000C5542">
              <w:rPr>
                <w:rFonts w:asciiTheme="minorHAnsi" w:hAnsiTheme="minorHAnsi" w:cstheme="minorHAnsi"/>
                <w:sz w:val="22"/>
                <w:szCs w:val="22"/>
              </w:rPr>
              <w:t xml:space="preserve">. O presidente pede que seja feito o pagamento administrativo.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gridSpan w:val="2"/>
            <w:tcBorders>
              <w:bottom w:val="single" w:sz="4" w:space="0" w:color="A6A6A6"/>
            </w:tcBorders>
            <w:vAlign w:val="center"/>
          </w:tcPr>
          <w:p w:rsidR="00857232" w:rsidRPr="00273BC7" w:rsidRDefault="002B4295" w:rsidP="00F31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Apenas informe.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F73E9A" w:rsidRDefault="003232CB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1578">
              <w:rPr>
                <w:rFonts w:asciiTheme="minorHAnsi" w:hAnsiTheme="minorHAnsi" w:cstheme="minorHAnsi"/>
                <w:b/>
                <w:sz w:val="22"/>
                <w:szCs w:val="22"/>
              </w:rPr>
              <w:t>Procedimentos para consultas referentes às atividades e atribuições profissionais, campos de atuação dos arquitetos e urbanistas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3232CB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CEF-CAU/RS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1877F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3232CB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857232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866515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4B0912" w:rsidRDefault="000C5542" w:rsidP="0072651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</w:t>
            </w:r>
            <w:r w:rsidR="0072651E">
              <w:rPr>
                <w:rFonts w:asciiTheme="minorHAnsi" w:hAnsiTheme="minorHAnsi" w:cstheme="minorHAnsi"/>
                <w:sz w:val="22"/>
                <w:szCs w:val="22"/>
              </w:rPr>
              <w:t>informa que se trata do tema da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esolução</w:t>
            </w:r>
            <w:r w:rsidR="0072651E">
              <w:rPr>
                <w:rFonts w:asciiTheme="minorHAnsi" w:hAnsiTheme="minorHAnsi" w:cstheme="minorHAnsi"/>
                <w:sz w:val="22"/>
                <w:szCs w:val="22"/>
              </w:rPr>
              <w:t xml:space="preserve"> Nº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21, </w:t>
            </w:r>
            <w:r w:rsidR="0072651E">
              <w:rPr>
                <w:rFonts w:asciiTheme="minorHAnsi" w:hAnsiTheme="minorHAnsi" w:cstheme="minorHAnsi"/>
                <w:sz w:val="22"/>
                <w:szCs w:val="22"/>
              </w:rPr>
              <w:t xml:space="preserve">citada na última reunião presencial do Conselho Diretor.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F12B88" w:rsidP="007265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irá alinhar a melhor data</w:t>
            </w:r>
            <w:r w:rsidR="0072651E">
              <w:rPr>
                <w:rFonts w:asciiTheme="minorHAnsi" w:hAnsiTheme="minorHAnsi" w:cstheme="minorHAnsi"/>
                <w:sz w:val="22"/>
                <w:szCs w:val="22"/>
              </w:rPr>
              <w:t xml:space="preserve"> para reunião conjunta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FE18B5" w:rsidRPr="00F73E9A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FE18B5" w:rsidRPr="00F73E9A" w:rsidRDefault="00FE18B5" w:rsidP="00B740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273BC7" w:rsidRDefault="003232CB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Participação do CAU/RS na semana de eventos do CAU/BR em São Paulo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3232CB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3232CB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72651E" w:rsidP="001C46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cronograma é apresentado. A conselheira Márcia e o conselheiro F</w:t>
            </w:r>
            <w:r w:rsidR="00C24509">
              <w:rPr>
                <w:rFonts w:asciiTheme="minorHAnsi" w:hAnsiTheme="minorHAnsi" w:cstheme="minorHAnsi"/>
                <w:sz w:val="22"/>
                <w:szCs w:val="22"/>
              </w:rPr>
              <w:t>ábio participar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ão representando a CEF-CAU/RS na reunião do CEAU Nacional. A secretária Josiane informa que as conselheiras Carline e Débora solicitaram participação no evento </w:t>
            </w:r>
            <w:r w:rsidR="00C24509">
              <w:rPr>
                <w:rFonts w:asciiTheme="minorHAnsi" w:hAnsiTheme="minorHAnsi" w:cstheme="minorHAnsi"/>
                <w:sz w:val="22"/>
                <w:szCs w:val="22"/>
              </w:rPr>
              <w:t>de diversidade. O conselheiro Ednezer diz que solicitou a retirada de pauta na última reunião do conselho diretor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 xml:space="preserve"> do CAU/BR,</w:t>
            </w:r>
            <w:r w:rsidR="00C24509">
              <w:rPr>
                <w:rFonts w:asciiTheme="minorHAnsi" w:hAnsiTheme="minorHAnsi" w:cstheme="minorHAnsi"/>
                <w:sz w:val="22"/>
                <w:szCs w:val="22"/>
              </w:rPr>
              <w:t xml:space="preserve"> o assunto dos </w:t>
            </w:r>
            <w:proofErr w:type="spellStart"/>
            <w:r w:rsidR="00C24509">
              <w:rPr>
                <w:rFonts w:asciiTheme="minorHAnsi" w:hAnsiTheme="minorHAnsi" w:cstheme="minorHAnsi"/>
                <w:sz w:val="22"/>
                <w:szCs w:val="22"/>
              </w:rPr>
              <w:t>GT’s</w:t>
            </w:r>
            <w:proofErr w:type="spellEnd"/>
            <w:r w:rsidR="00C24509">
              <w:rPr>
                <w:rFonts w:asciiTheme="minorHAnsi" w:hAnsiTheme="minorHAnsi" w:cstheme="minorHAnsi"/>
                <w:sz w:val="22"/>
                <w:szCs w:val="22"/>
              </w:rPr>
              <w:t xml:space="preserve"> nacionais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24509">
              <w:rPr>
                <w:rFonts w:asciiTheme="minorHAnsi" w:hAnsiTheme="minorHAnsi" w:cstheme="minorHAnsi"/>
                <w:sz w:val="22"/>
                <w:szCs w:val="22"/>
              </w:rPr>
              <w:t xml:space="preserve"> pois foi visto algumas deficiências no projeto, a serem corrigidas. Acrescenta que este é um assunto prioritário, além da formação do colegiado de presidentes.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C24509" w:rsidP="00547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 xml:space="preserve">a irá solicitar as convocações para participação dos conselheiros no evento do CAU/BR em São Paulo. 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3232CB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B9B">
              <w:rPr>
                <w:rFonts w:ascii="Calibri" w:hAnsi="Calibri" w:cs="Calibri"/>
                <w:b/>
                <w:sz w:val="22"/>
                <w:szCs w:val="22"/>
              </w:rPr>
              <w:t>Contribuições do CAU/RS às Candidatas e Candidatos às eleições 2022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3232CB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CPUA-CAU/RS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3232CB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CE4206" w:rsidP="008E25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informa que o CAU/BR elaborou </w:t>
            </w:r>
            <w:r w:rsidR="008E2533">
              <w:rPr>
                <w:rFonts w:asciiTheme="minorHAnsi" w:hAnsiTheme="minorHAnsi" w:cstheme="minorHAnsi"/>
                <w:sz w:val="22"/>
                <w:szCs w:val="22"/>
              </w:rPr>
              <w:t>o documento de Carta aos Candidatos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junto às entidades, que tive contribuições da CPUA-CAU/RS</w:t>
            </w:r>
            <w:r w:rsidR="008E2533">
              <w:rPr>
                <w:rFonts w:asciiTheme="minorHAnsi" w:hAnsiTheme="minorHAnsi" w:cstheme="minorHAnsi"/>
                <w:sz w:val="22"/>
                <w:szCs w:val="22"/>
              </w:rPr>
              <w:t xml:space="preserve">; sugere enviar para os atuais deputados estaduais e federais, entregar em mãos aos candidatos ao governo; e enviar aos partidos. O conselheiro Rodrigo sugere que o CAU/RS crie um debate com perguntas focadas na Carta aos Candidatos. O presidente diz que isso poderia ser feito em conjunto com o Fórum de Conselhos; também fala que o CAU/RS poderia estimular os profissionais a informarem </w:t>
            </w:r>
            <w:r w:rsidR="00085CA9">
              <w:rPr>
                <w:rFonts w:asciiTheme="minorHAnsi" w:hAnsiTheme="minorHAnsi" w:cstheme="minorHAnsi"/>
                <w:sz w:val="22"/>
                <w:szCs w:val="22"/>
              </w:rPr>
              <w:t xml:space="preserve">dos </w:t>
            </w:r>
            <w:r w:rsidR="008E2533">
              <w:rPr>
                <w:rFonts w:asciiTheme="minorHAnsi" w:hAnsiTheme="minorHAnsi" w:cstheme="minorHAnsi"/>
                <w:sz w:val="22"/>
                <w:szCs w:val="22"/>
              </w:rPr>
              <w:t xml:space="preserve">candidatos que são Arquitetos e Urbanistas.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8E2533" w:rsidP="00547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3232CB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Trienal da Arquitetura e Urbanismo do RS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3232CB" w:rsidP="00FE18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 / GT Eventos</w:t>
            </w:r>
            <w:r w:rsidRPr="0000156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FE18B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E18B5" w:rsidRPr="00DF1176" w:rsidRDefault="00FE18B5" w:rsidP="00FE18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1877FE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E18B5" w:rsidRPr="0000156D" w:rsidRDefault="003232CB" w:rsidP="00FE18B5">
            <w:pPr>
              <w:rPr>
                <w:rFonts w:ascii="Calibri" w:hAnsi="Calibri" w:cs="Calibri"/>
                <w:sz w:val="22"/>
                <w:szCs w:val="22"/>
              </w:rPr>
            </w:pPr>
            <w:r w:rsidRPr="00671578">
              <w:rPr>
                <w:rFonts w:ascii="Calibri" w:hAnsi="Calibri" w:cs="Calibri"/>
                <w:sz w:val="22"/>
                <w:szCs w:val="22"/>
              </w:rPr>
              <w:t>Josiane Bernardi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Fábio Müller</w:t>
            </w:r>
          </w:p>
        </w:tc>
      </w:tr>
      <w:tr w:rsidR="0092216D" w:rsidRPr="00DF1176" w:rsidTr="00F92CE0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1877FE" w:rsidP="001C468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explica que a partir da impossibilidade de fazer uma licitação a tempo dos eventos previstos para 2022 nas cidades do interior, foi realizada uma reunião com as entidades para verificar a possibilidade dos eventos acontecerem em parceria com elas; o CAU/RS repassaria os recursos, eles fariam as contrataç</w:t>
            </w:r>
            <w:r w:rsidR="00E1204E">
              <w:rPr>
                <w:rFonts w:asciiTheme="minorHAnsi" w:hAnsiTheme="minorHAnsi" w:cstheme="minorHAnsi"/>
                <w:sz w:val="22"/>
                <w:szCs w:val="22"/>
              </w:rPr>
              <w:t>ões e 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204E">
              <w:rPr>
                <w:rFonts w:asciiTheme="minorHAnsi" w:hAnsiTheme="minorHAnsi" w:cstheme="minorHAnsi"/>
                <w:sz w:val="22"/>
                <w:szCs w:val="22"/>
              </w:rPr>
              <w:t>executaria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No entanto, devido à postura de alguns membros da gestão, entende que seja melhor não realizar os eventos desta forma, cancelando os</w:t>
            </w:r>
            <w:r w:rsidR="00E1204E">
              <w:rPr>
                <w:rFonts w:asciiTheme="minorHAnsi" w:hAnsiTheme="minorHAnsi" w:cstheme="minorHAnsi"/>
                <w:sz w:val="22"/>
                <w:szCs w:val="22"/>
              </w:rPr>
              <w:t xml:space="preserve"> eventos </w:t>
            </w:r>
            <w:r w:rsidR="00E1204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no interior para 2022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realizando apenas a etapa de Porto Alegre em novembro de 2022.</w:t>
            </w:r>
            <w:r w:rsidR="0062653B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fala que o detalhamento do evento está sendo elaborado desde 2021, a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ficuldade está na licitação, o que</w:t>
            </w:r>
            <w:r w:rsidR="0062653B">
              <w:rPr>
                <w:rFonts w:asciiTheme="minorHAnsi" w:hAnsiTheme="minorHAnsi" w:cstheme="minorHAnsi"/>
                <w:sz w:val="22"/>
                <w:szCs w:val="22"/>
              </w:rPr>
              <w:t xml:space="preserve"> fez com que as coisas se atrasassem e não fosse mais possível cumprir com o cronograma. </w:t>
            </w:r>
            <w:r w:rsidR="00901342">
              <w:rPr>
                <w:rFonts w:asciiTheme="minorHAnsi" w:hAnsiTheme="minorHAnsi" w:cstheme="minorHAnsi"/>
                <w:sz w:val="22"/>
                <w:szCs w:val="22"/>
              </w:rPr>
              <w:t>A secretária Josiane apresenta a programa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ção prevista para o evento em Porto Alegre</w:t>
            </w:r>
            <w:r w:rsidR="008E173F">
              <w:rPr>
                <w:rFonts w:asciiTheme="minorHAnsi" w:hAnsiTheme="minorHAnsi" w:cstheme="minorHAnsi"/>
                <w:sz w:val="22"/>
                <w:szCs w:val="22"/>
              </w:rPr>
              <w:t>, que pode acontecer em tempo de realizar uma licitação</w:t>
            </w:r>
            <w:r w:rsidR="00901342">
              <w:rPr>
                <w:rFonts w:asciiTheme="minorHAnsi" w:hAnsiTheme="minorHAnsi" w:cstheme="minorHAnsi"/>
                <w:sz w:val="22"/>
                <w:szCs w:val="22"/>
              </w:rPr>
              <w:t>. O conselheiro Fábio explica que serão quatro dias, manhã tarde e noite, no primeiro dia não te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>m programação definida além do P</w:t>
            </w:r>
            <w:r w:rsidR="00901342">
              <w:rPr>
                <w:rFonts w:asciiTheme="minorHAnsi" w:hAnsiTheme="minorHAnsi" w:cstheme="minorHAnsi"/>
                <w:sz w:val="22"/>
                <w:szCs w:val="22"/>
              </w:rPr>
              <w:t>rêmio CA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>U, o segundo dia é temático de P</w:t>
            </w:r>
            <w:r w:rsidR="00901342">
              <w:rPr>
                <w:rFonts w:asciiTheme="minorHAnsi" w:hAnsiTheme="minorHAnsi" w:cstheme="minorHAnsi"/>
                <w:sz w:val="22"/>
                <w:szCs w:val="22"/>
              </w:rPr>
              <w:t xml:space="preserve">atrimônio com o lançamento do </w:t>
            </w:r>
            <w:r w:rsidR="008E173F">
              <w:rPr>
                <w:rFonts w:asciiTheme="minorHAnsi" w:hAnsiTheme="minorHAnsi" w:cstheme="minorHAnsi"/>
                <w:sz w:val="22"/>
                <w:szCs w:val="22"/>
              </w:rPr>
              <w:t>Centro de M</w:t>
            </w:r>
            <w:r w:rsidR="00901342">
              <w:rPr>
                <w:rFonts w:asciiTheme="minorHAnsi" w:hAnsiTheme="minorHAnsi" w:cstheme="minorHAnsi"/>
                <w:sz w:val="22"/>
                <w:szCs w:val="22"/>
              </w:rPr>
              <w:t>emória com um programa especí</w:t>
            </w:r>
            <w:r w:rsidR="00E1204E">
              <w:rPr>
                <w:rFonts w:asciiTheme="minorHAnsi" w:hAnsiTheme="minorHAnsi" w:cstheme="minorHAnsi"/>
                <w:sz w:val="22"/>
                <w:szCs w:val="22"/>
              </w:rPr>
              <w:t xml:space="preserve">fico de 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>Acervos de A</w:t>
            </w:r>
            <w:r w:rsidR="00E1204E">
              <w:rPr>
                <w:rFonts w:asciiTheme="minorHAnsi" w:hAnsiTheme="minorHAnsi" w:cstheme="minorHAnsi"/>
                <w:sz w:val="22"/>
                <w:szCs w:val="22"/>
              </w:rPr>
              <w:t xml:space="preserve">rquitetura </w:t>
            </w:r>
            <w:r w:rsidR="0090134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uma</w:t>
            </w:r>
            <w:r w:rsidR="00901342">
              <w:rPr>
                <w:rFonts w:asciiTheme="minorHAnsi" w:hAnsiTheme="minorHAnsi" w:cstheme="minorHAnsi"/>
                <w:sz w:val="22"/>
                <w:szCs w:val="22"/>
              </w:rPr>
              <w:t xml:space="preserve"> atividade cultural no início da noite. N</w:t>
            </w:r>
            <w:r w:rsidR="00B23C4A">
              <w:rPr>
                <w:rFonts w:asciiTheme="minorHAnsi" w:hAnsiTheme="minorHAnsi" w:cstheme="minorHAnsi"/>
                <w:sz w:val="22"/>
                <w:szCs w:val="22"/>
              </w:rPr>
              <w:t>a quarta-</w:t>
            </w:r>
            <w:r w:rsidR="00901342">
              <w:rPr>
                <w:rFonts w:asciiTheme="minorHAnsi" w:hAnsiTheme="minorHAnsi" w:cstheme="minorHAnsi"/>
                <w:sz w:val="22"/>
                <w:szCs w:val="22"/>
              </w:rPr>
              <w:t xml:space="preserve">feira a temática será ATHIS,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quinta-feira </w:t>
            </w:r>
            <w:r w:rsidR="00901342">
              <w:rPr>
                <w:rFonts w:asciiTheme="minorHAnsi" w:hAnsiTheme="minorHAnsi" w:cstheme="minorHAnsi"/>
                <w:sz w:val="22"/>
                <w:szCs w:val="22"/>
              </w:rPr>
              <w:t>e na sexta-feira</w:t>
            </w:r>
            <w:r w:rsidR="00057E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 xml:space="preserve"> Ensino e Exercício P</w:t>
            </w:r>
            <w:r w:rsidR="00901342">
              <w:rPr>
                <w:rFonts w:asciiTheme="minorHAnsi" w:hAnsiTheme="minorHAnsi" w:cstheme="minorHAnsi"/>
                <w:sz w:val="22"/>
                <w:szCs w:val="22"/>
              </w:rPr>
              <w:t xml:space="preserve">rofissional. O presidente parabeniza </w:t>
            </w:r>
            <w:r w:rsidR="00057E89">
              <w:rPr>
                <w:rFonts w:asciiTheme="minorHAnsi" w:hAnsiTheme="minorHAnsi" w:cstheme="minorHAnsi"/>
                <w:sz w:val="22"/>
                <w:szCs w:val="22"/>
              </w:rPr>
              <w:t>o trabalho feito pelo GT. O presidente pede que seja enviada a estrutura do evento aos conselheiros. O conselheiro Pedro sugere pautar nas comissões. A secretária Josiane sugere apresentar a proposta durante as reuniões da próxima semana para levantar considerações dos conselheiros.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6E55D4" w:rsidP="00B23C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Será encaminhado a alteração de objeto do Projeto Especial a ser aprovado pela CPFI, para posterior aprovação em Plenária.</w:t>
            </w:r>
          </w:p>
        </w:tc>
      </w:tr>
      <w:tr w:rsidR="00824ADA" w:rsidRPr="00EA75AE" w:rsidTr="00B7400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24ADA" w:rsidRPr="00DF1176" w:rsidRDefault="00824ADA" w:rsidP="00B7400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24ADA" w:rsidRPr="00EA75AE" w:rsidRDefault="00824ADA" w:rsidP="00B7400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ADA" w:rsidRPr="00DF1176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824ADA" w:rsidRPr="00824ADA" w:rsidRDefault="00824ADA" w:rsidP="00824AD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Extra pauta 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6" w:type="dxa"/>
            <w:vAlign w:val="center"/>
          </w:tcPr>
          <w:p w:rsidR="00824ADA" w:rsidRPr="0062653B" w:rsidRDefault="0062653B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653B">
              <w:rPr>
                <w:rFonts w:asciiTheme="minorHAnsi" w:hAnsiTheme="minorHAnsi" w:cstheme="minorHAnsi"/>
                <w:b/>
                <w:sz w:val="22"/>
                <w:szCs w:val="22"/>
              </w:rPr>
              <w:t>Gabinete Paralelo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6" w:type="dxa"/>
            <w:vAlign w:val="center"/>
          </w:tcPr>
          <w:p w:rsidR="00824ADA" w:rsidRPr="007A226C" w:rsidRDefault="00824ADA" w:rsidP="00824A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6" w:type="dxa"/>
            <w:vAlign w:val="center"/>
          </w:tcPr>
          <w:p w:rsidR="00824ADA" w:rsidRPr="007A226C" w:rsidRDefault="00AF2CF6" w:rsidP="00824A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824ADA" w:rsidRPr="00AA17FC" w:rsidRDefault="00B637D1" w:rsidP="004531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F2CF6">
              <w:rPr>
                <w:rFonts w:asciiTheme="minorHAnsi" w:hAnsiTheme="minorHAnsi" w:cstheme="minorHAnsi"/>
                <w:sz w:val="22"/>
                <w:szCs w:val="22"/>
              </w:rPr>
              <w:t>presidente diz que se sente atingido pessoal</w:t>
            </w:r>
            <w:r w:rsidR="006E55D4">
              <w:rPr>
                <w:rFonts w:asciiTheme="minorHAnsi" w:hAnsiTheme="minorHAnsi" w:cstheme="minorHAnsi"/>
                <w:sz w:val="22"/>
                <w:szCs w:val="22"/>
              </w:rPr>
              <w:t>mente por comentários que ouviu de alguns membros da gestão e pergunta a opinião dos conselheiros</w:t>
            </w:r>
            <w:r w:rsidR="00AF2CF6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E504BE">
              <w:rPr>
                <w:rFonts w:asciiTheme="minorHAnsi" w:hAnsiTheme="minorHAnsi" w:cstheme="minorHAnsi"/>
                <w:sz w:val="22"/>
                <w:szCs w:val="22"/>
              </w:rPr>
              <w:t xml:space="preserve"> conselheira Evelise</w:t>
            </w:r>
            <w:r w:rsidR="00AF2CF6">
              <w:rPr>
                <w:rFonts w:asciiTheme="minorHAnsi" w:hAnsiTheme="minorHAnsi" w:cstheme="minorHAnsi"/>
                <w:sz w:val="22"/>
                <w:szCs w:val="22"/>
              </w:rPr>
              <w:t xml:space="preserve"> diz que dentro da COA houve comentários </w:t>
            </w:r>
            <w:r w:rsidR="00E504BE">
              <w:rPr>
                <w:rFonts w:asciiTheme="minorHAnsi" w:hAnsiTheme="minorHAnsi" w:cstheme="minorHAnsi"/>
                <w:sz w:val="22"/>
                <w:szCs w:val="22"/>
              </w:rPr>
              <w:t>de que o conselho diretor somente chancela os assuntos, sem o devido debate. A conselheira Deise pensa</w:t>
            </w:r>
            <w:r w:rsidR="0045313F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E504BE">
              <w:rPr>
                <w:rFonts w:asciiTheme="minorHAnsi" w:hAnsiTheme="minorHAnsi" w:cstheme="minorHAnsi"/>
                <w:sz w:val="22"/>
                <w:szCs w:val="22"/>
              </w:rPr>
              <w:t xml:space="preserve"> a justificativa de não comparecimento de conselheiro em reuniões </w:t>
            </w:r>
            <w:r w:rsidR="0045313F">
              <w:rPr>
                <w:rFonts w:asciiTheme="minorHAnsi" w:hAnsiTheme="minorHAnsi" w:cstheme="minorHAnsi"/>
                <w:sz w:val="22"/>
                <w:szCs w:val="22"/>
              </w:rPr>
              <w:t>por falta de comprovante de vacina, não deveria ser aceita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>, o</w:t>
            </w:r>
            <w:r w:rsidR="00C30CBA">
              <w:rPr>
                <w:rFonts w:asciiTheme="minorHAnsi" w:hAnsiTheme="minorHAnsi" w:cstheme="minorHAnsi"/>
                <w:sz w:val="22"/>
                <w:szCs w:val="22"/>
              </w:rPr>
              <w:t xml:space="preserve"> comprovante deve ser apresentado</w:t>
            </w:r>
            <w:r w:rsidR="0045313F">
              <w:rPr>
                <w:rFonts w:asciiTheme="minorHAnsi" w:hAnsiTheme="minorHAnsi" w:cstheme="minorHAnsi"/>
                <w:sz w:val="22"/>
                <w:szCs w:val="22"/>
              </w:rPr>
              <w:t xml:space="preserve">. O conselheiro Pedro vê como uma questão política, de oposição. </w:t>
            </w:r>
          </w:p>
        </w:tc>
      </w:tr>
      <w:tr w:rsidR="00824ADA" w:rsidRPr="008B0FC3" w:rsidTr="00B74005">
        <w:tblPrEx>
          <w:shd w:val="clear" w:color="auto" w:fill="auto"/>
        </w:tblPrEx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824ADA" w:rsidRPr="00DF1176" w:rsidRDefault="00824ADA" w:rsidP="00824A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824ADA" w:rsidRPr="00273BC7" w:rsidRDefault="004F6E9E" w:rsidP="00270F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pede que seja solicitada uma formalização do conselheiro sobre o que é o Gabinete Paralelo. </w:t>
            </w:r>
          </w:p>
        </w:tc>
      </w:tr>
      <w:tr w:rsidR="008A5C13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DF1176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EA75AE" w:rsidRDefault="008A5C13" w:rsidP="008A5C1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C13" w:rsidRPr="00DF1176" w:rsidTr="001434CC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8A5C13" w:rsidRPr="002E74AA" w:rsidRDefault="008A5C13" w:rsidP="008A5C13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74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B06A5" w:rsidRDefault="008A5C13" w:rsidP="004F6E9E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  <w:r w:rsidR="004F6E9E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Default="008A5C13" w:rsidP="008A5C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Default="008A5C13" w:rsidP="004F6E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AD1AC4">
              <w:rPr>
                <w:rFonts w:asciiTheme="minorHAnsi" w:hAnsiTheme="minorHAnsi" w:cstheme="minorHAnsi"/>
                <w:sz w:val="22"/>
                <w:szCs w:val="22"/>
              </w:rPr>
              <w:t>diz que dia 13 de maio será o lançamento do livro do</w:t>
            </w:r>
            <w:r w:rsidR="004F6E9E">
              <w:rPr>
                <w:rFonts w:asciiTheme="minorHAnsi" w:hAnsiTheme="minorHAnsi" w:cstheme="minorHAnsi"/>
                <w:sz w:val="22"/>
                <w:szCs w:val="22"/>
              </w:rPr>
              <w:t xml:space="preserve"> Arquiteto e Urbanista</w:t>
            </w:r>
            <w:r w:rsidR="00AD1A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6E9E">
              <w:rPr>
                <w:rFonts w:asciiTheme="minorHAnsi" w:hAnsiTheme="minorHAnsi" w:cstheme="minorHAnsi"/>
                <w:sz w:val="22"/>
                <w:szCs w:val="22"/>
              </w:rPr>
              <w:t xml:space="preserve">Paulo </w:t>
            </w:r>
            <w:r w:rsidR="00AD1AC4">
              <w:rPr>
                <w:rFonts w:asciiTheme="minorHAnsi" w:hAnsiTheme="minorHAnsi" w:cstheme="minorHAnsi"/>
                <w:sz w:val="22"/>
                <w:szCs w:val="22"/>
              </w:rPr>
              <w:t>Bica</w:t>
            </w:r>
            <w:r w:rsidR="004F6E9E">
              <w:rPr>
                <w:rFonts w:asciiTheme="minorHAnsi" w:hAnsiTheme="minorHAnsi" w:cstheme="minorHAnsi"/>
                <w:sz w:val="22"/>
                <w:szCs w:val="22"/>
              </w:rPr>
              <w:t>, o qual foi publicado pelo CAU/RS,</w:t>
            </w:r>
            <w:r w:rsidR="00AD1AC4">
              <w:rPr>
                <w:rFonts w:asciiTheme="minorHAnsi" w:hAnsiTheme="minorHAnsi" w:cstheme="minorHAnsi"/>
                <w:sz w:val="22"/>
                <w:szCs w:val="22"/>
              </w:rPr>
              <w:t xml:space="preserve"> no Vila Flores. Cita o evento realizado em canoas, com 36</w:t>
            </w:r>
            <w:r w:rsidR="004F6E9E">
              <w:rPr>
                <w:rFonts w:asciiTheme="minorHAnsi" w:hAnsiTheme="minorHAnsi" w:cstheme="minorHAnsi"/>
                <w:sz w:val="22"/>
                <w:szCs w:val="22"/>
              </w:rPr>
              <w:t xml:space="preserve"> arquitetos contratados para o Projeto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 xml:space="preserve"> do Edital</w:t>
            </w:r>
            <w:r w:rsidR="004F6E9E">
              <w:rPr>
                <w:rFonts w:asciiTheme="minorHAnsi" w:hAnsiTheme="minorHAnsi" w:cstheme="minorHAnsi"/>
                <w:sz w:val="22"/>
                <w:szCs w:val="22"/>
              </w:rPr>
              <w:t xml:space="preserve"> Nenhuma Casa Sem B</w:t>
            </w:r>
            <w:r w:rsidR="00AD1AC4">
              <w:rPr>
                <w:rFonts w:asciiTheme="minorHAnsi" w:hAnsiTheme="minorHAnsi" w:cstheme="minorHAnsi"/>
                <w:sz w:val="22"/>
                <w:szCs w:val="22"/>
              </w:rPr>
              <w:t>anh</w:t>
            </w:r>
            <w:r w:rsidR="004F6E9E">
              <w:rPr>
                <w:rFonts w:asciiTheme="minorHAnsi" w:hAnsiTheme="minorHAnsi" w:cstheme="minorHAnsi"/>
                <w:sz w:val="22"/>
                <w:szCs w:val="22"/>
              </w:rPr>
              <w:t>eiro que atenderão</w:t>
            </w:r>
            <w:r w:rsidR="00AD1AC4">
              <w:rPr>
                <w:rFonts w:asciiTheme="minorHAnsi" w:hAnsiTheme="minorHAnsi" w:cstheme="minorHAnsi"/>
                <w:sz w:val="22"/>
                <w:szCs w:val="22"/>
              </w:rPr>
              <w:t xml:space="preserve"> 360 famílias. </w:t>
            </w:r>
            <w:r w:rsidR="004F6E9E">
              <w:rPr>
                <w:rFonts w:asciiTheme="minorHAnsi" w:hAnsiTheme="minorHAnsi" w:cstheme="minorHAnsi"/>
                <w:sz w:val="22"/>
                <w:szCs w:val="22"/>
              </w:rPr>
              <w:t>Fala da expectativa de aperfeiçoamento na p</w:t>
            </w:r>
            <w:r w:rsidR="00AD1AC4">
              <w:rPr>
                <w:rFonts w:asciiTheme="minorHAnsi" w:hAnsiTheme="minorHAnsi" w:cstheme="minorHAnsi"/>
                <w:sz w:val="22"/>
                <w:szCs w:val="22"/>
              </w:rPr>
              <w:t>adronizaç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 xml:space="preserve">ão operacional e de documentos do referido edital.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F75745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AD1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fala </w:t>
            </w:r>
            <w:r w:rsidR="00DD5C7B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6A66C3">
              <w:rPr>
                <w:rFonts w:asciiTheme="minorHAnsi" w:hAnsiTheme="minorHAnsi" w:cstheme="minorHAnsi"/>
                <w:sz w:val="22"/>
                <w:szCs w:val="22"/>
              </w:rPr>
              <w:t xml:space="preserve">a COA está revisando o Regimento Interno </w:t>
            </w:r>
            <w:r w:rsidR="00AD1AC4">
              <w:rPr>
                <w:rFonts w:asciiTheme="minorHAnsi" w:hAnsiTheme="minorHAnsi" w:cstheme="minorHAnsi"/>
                <w:sz w:val="22"/>
                <w:szCs w:val="22"/>
              </w:rPr>
              <w:t>e te</w:t>
            </w:r>
            <w:r w:rsidR="006A66C3">
              <w:rPr>
                <w:rFonts w:asciiTheme="minorHAnsi" w:hAnsiTheme="minorHAnsi" w:cstheme="minorHAnsi"/>
                <w:sz w:val="22"/>
                <w:szCs w:val="22"/>
              </w:rPr>
              <w:t>m a intenção de revisar o PCCR.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6A66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diz </w:t>
            </w:r>
            <w:r w:rsidR="00DD5C7B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AD1AC4">
              <w:rPr>
                <w:rFonts w:asciiTheme="minorHAnsi" w:hAnsiTheme="minorHAnsi" w:cstheme="minorHAnsi"/>
                <w:sz w:val="22"/>
                <w:szCs w:val="22"/>
              </w:rPr>
              <w:t xml:space="preserve"> está acontece</w:t>
            </w:r>
            <w:r w:rsidR="006A66C3">
              <w:rPr>
                <w:rFonts w:asciiTheme="minorHAnsi" w:hAnsiTheme="minorHAnsi" w:cstheme="minorHAnsi"/>
                <w:sz w:val="22"/>
                <w:szCs w:val="22"/>
              </w:rPr>
              <w:t>ndo a auditoria interna do CAU/BR</w:t>
            </w:r>
            <w:r w:rsidR="00AD1AC4">
              <w:rPr>
                <w:rFonts w:asciiTheme="minorHAnsi" w:hAnsiTheme="minorHAnsi" w:cstheme="minorHAnsi"/>
                <w:sz w:val="22"/>
                <w:szCs w:val="22"/>
              </w:rPr>
              <w:t>, a comissão analisou um pro</w:t>
            </w:r>
            <w:r w:rsidR="006A66C3">
              <w:rPr>
                <w:rFonts w:asciiTheme="minorHAnsi" w:hAnsiTheme="minorHAnsi" w:cstheme="minorHAnsi"/>
                <w:sz w:val="22"/>
                <w:szCs w:val="22"/>
              </w:rPr>
              <w:t>cesso de isenção de anuidade e o balancete do mês de março.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9757B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E66CED" w:rsidRDefault="009757B9" w:rsidP="009757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E21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5C13" w:rsidRPr="00E66CED" w:rsidRDefault="009757B9" w:rsidP="00AD1AC4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757B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 fala</w:t>
            </w:r>
            <w:r w:rsidR="00C33D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1AC4">
              <w:rPr>
                <w:rFonts w:asciiTheme="minorHAnsi" w:hAnsiTheme="minorHAnsi" w:cstheme="minorHAnsi"/>
                <w:sz w:val="22"/>
                <w:szCs w:val="22"/>
              </w:rPr>
              <w:t>que segunda-feira foi a primeira reunião da</w:t>
            </w:r>
            <w:r w:rsidR="00363644">
              <w:rPr>
                <w:rFonts w:asciiTheme="minorHAnsi" w:hAnsiTheme="minorHAnsi" w:cstheme="minorHAnsi"/>
                <w:sz w:val="22"/>
                <w:szCs w:val="22"/>
              </w:rPr>
              <w:t xml:space="preserve"> conselheira Deise na comissão e </w:t>
            </w:r>
            <w:r w:rsidR="001C468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363644">
              <w:rPr>
                <w:rFonts w:asciiTheme="minorHAnsi" w:hAnsiTheme="minorHAnsi" w:cstheme="minorHAnsi"/>
                <w:sz w:val="22"/>
                <w:szCs w:val="22"/>
              </w:rPr>
              <w:t>comissão tratou de assuntos gerais.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F75745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A5C13" w:rsidRPr="00500800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740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273BC7" w:rsidRDefault="00B74005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FA5904" w:rsidRDefault="00B74005" w:rsidP="00363644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diz </w:t>
            </w:r>
            <w:r w:rsidR="00AD1AC4">
              <w:rPr>
                <w:rFonts w:asciiTheme="minorHAnsi" w:eastAsia="MS Mincho" w:hAnsiTheme="minorHAnsi" w:cstheme="minorHAnsi"/>
                <w:sz w:val="22"/>
                <w:szCs w:val="22"/>
              </w:rPr>
              <w:t>que a comissão teve reunião e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xtraordinária para tratar de </w:t>
            </w:r>
            <w:proofErr w:type="spellStart"/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. Na última reunião ordinária debateram sobre</w:t>
            </w:r>
            <w:r w:rsidR="00AD1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primeiras solicitações de registro de cursos </w:t>
            </w:r>
            <w:proofErr w:type="spellStart"/>
            <w:r w:rsidR="00AD1AC4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, diz que</w:t>
            </w:r>
            <w:r w:rsidR="00AD1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existem critérios que são seguidos para análise, e </w:t>
            </w:r>
            <w:r w:rsidR="00AD1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das instituições não tem a portaria de reconhecimento mas tem o cálculo de intempestividade, o CAU tem uma ação a respeito da carga horária de até 40% </w:t>
            </w:r>
            <w:proofErr w:type="spellStart"/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AD1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nos cursos, 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comenta sobre a insegurança em</w:t>
            </w:r>
            <w:r w:rsidR="00AD1A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conceder o registro. Em razão da ação do CAU questionando os 40% e por não ter a portaria de reconhecimento foi solicitado um parecer jurídico a respeito desses pontos.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57FB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D66C5A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993BEB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993BEB" w:rsidRDefault="0071277B" w:rsidP="0036364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diz que</w:t>
            </w:r>
            <w:r w:rsidR="00B523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aconteceu a primeira reuniã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da conselheira Ingrid na CED, e </w:t>
            </w:r>
            <w:r w:rsidR="00B523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ficou preocupada com o encaminhamento do processo na plenária 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apesar de considerar o </w:t>
            </w:r>
            <w:r w:rsidR="00B523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pedido de vista do conselheiro Fábio 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uma boa decisão</w:t>
            </w:r>
            <w:r w:rsidR="00B523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pois assim 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o processo</w:t>
            </w:r>
            <w:r w:rsidR="00B523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analisado por um conselheiro externo da CED. Comenta da preocupação com a 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Resolução Nº 143; cita o S</w:t>
            </w:r>
            <w:r w:rsidR="00B523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eminário 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B523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acional 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a ocorrer em S</w:t>
            </w:r>
            <w:r w:rsidR="00B52303">
              <w:rPr>
                <w:rFonts w:asciiTheme="minorHAnsi" w:eastAsia="MS Mincho" w:hAnsiTheme="minorHAnsi" w:cstheme="minorHAnsi"/>
                <w:sz w:val="22"/>
                <w:szCs w:val="22"/>
              </w:rPr>
              <w:t>ão Paulo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 10 de junho; e informa que a reunião da comissão do</w:t>
            </w:r>
            <w:r w:rsidR="00B523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 12 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de maio que seria estendida,</w:t>
            </w:r>
            <w:r w:rsidR="00B523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int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errompida para participarem virtualmente </w:t>
            </w:r>
            <w:r w:rsidR="00B523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reunião do CAU/BR sobre a </w:t>
            </w:r>
            <w:r w:rsidR="00363644">
              <w:rPr>
                <w:rFonts w:asciiTheme="minorHAnsi" w:eastAsia="MS Mincho" w:hAnsiTheme="minorHAnsi" w:cstheme="minorHAnsi"/>
                <w:sz w:val="22"/>
                <w:szCs w:val="22"/>
              </w:rPr>
              <w:t>Resolução Nº 143.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707ACA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A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707ACA" w:rsidRDefault="00480841" w:rsidP="00A75D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Pedro relat</w:t>
            </w:r>
            <w:r w:rsidR="00363644">
              <w:rPr>
                <w:rFonts w:asciiTheme="minorHAnsi" w:hAnsiTheme="minorHAnsi" w:cstheme="minorHAnsi"/>
                <w:sz w:val="22"/>
                <w:szCs w:val="22"/>
              </w:rPr>
              <w:t>a que a</w:t>
            </w:r>
            <w:r w:rsidR="00B52303">
              <w:rPr>
                <w:rFonts w:asciiTheme="minorHAnsi" w:hAnsiTheme="minorHAnsi" w:cstheme="minorHAnsi"/>
                <w:sz w:val="22"/>
                <w:szCs w:val="22"/>
              </w:rPr>
              <w:t xml:space="preserve"> comissão está concluindo o material elaborado para as diretrizes dos representantes, será editado um material em PDF e também será pensado em um material a ser impresso para entrega aos representantes</w:t>
            </w:r>
            <w:r w:rsidR="00A75DD4">
              <w:rPr>
                <w:rFonts w:asciiTheme="minorHAnsi" w:hAnsiTheme="minorHAnsi" w:cstheme="minorHAnsi"/>
                <w:sz w:val="22"/>
                <w:szCs w:val="22"/>
              </w:rPr>
              <w:t xml:space="preserve">. Estão trabalhando na tese do Plano Diretor. Informa </w:t>
            </w:r>
            <w:r w:rsidR="00B52303">
              <w:rPr>
                <w:rFonts w:asciiTheme="minorHAnsi" w:hAnsiTheme="minorHAnsi" w:cstheme="minorHAnsi"/>
                <w:sz w:val="22"/>
                <w:szCs w:val="22"/>
              </w:rPr>
              <w:t>que oc</w:t>
            </w:r>
            <w:r w:rsidR="00A75DD4">
              <w:rPr>
                <w:rFonts w:asciiTheme="minorHAnsi" w:hAnsiTheme="minorHAnsi" w:cstheme="minorHAnsi"/>
                <w:sz w:val="22"/>
                <w:szCs w:val="22"/>
              </w:rPr>
              <w:t>orreu um evento nacional da CPUA</w:t>
            </w:r>
            <w:r w:rsidR="00B52303">
              <w:rPr>
                <w:rFonts w:asciiTheme="minorHAnsi" w:hAnsiTheme="minorHAnsi" w:cstheme="minorHAnsi"/>
                <w:sz w:val="22"/>
                <w:szCs w:val="22"/>
              </w:rPr>
              <w:t xml:space="preserve">, com participação da conselheira </w:t>
            </w:r>
            <w:r w:rsidR="00A75DD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52303">
              <w:rPr>
                <w:rFonts w:asciiTheme="minorHAnsi" w:hAnsiTheme="minorHAnsi" w:cstheme="minorHAnsi"/>
                <w:sz w:val="22"/>
                <w:szCs w:val="22"/>
              </w:rPr>
              <w:t xml:space="preserve">arisa, </w:t>
            </w:r>
            <w:r w:rsidR="00A75DD4">
              <w:rPr>
                <w:rFonts w:asciiTheme="minorHAnsi" w:hAnsiTheme="minorHAnsi" w:cstheme="minorHAnsi"/>
                <w:sz w:val="22"/>
                <w:szCs w:val="22"/>
              </w:rPr>
              <w:t>onde foi comentado que a CPUA-CAU/BR</w:t>
            </w:r>
            <w:r w:rsidR="00B52303">
              <w:rPr>
                <w:rFonts w:asciiTheme="minorHAnsi" w:hAnsiTheme="minorHAnsi" w:cstheme="minorHAnsi"/>
                <w:sz w:val="22"/>
                <w:szCs w:val="22"/>
              </w:rPr>
              <w:t xml:space="preserve"> tem </w:t>
            </w:r>
            <w:r w:rsidR="00A75DD4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B52303">
              <w:rPr>
                <w:rFonts w:asciiTheme="minorHAnsi" w:hAnsiTheme="minorHAnsi" w:cstheme="minorHAnsi"/>
                <w:sz w:val="22"/>
                <w:szCs w:val="22"/>
              </w:rPr>
              <w:t xml:space="preserve"> projeto de reuniões </w:t>
            </w:r>
            <w:r w:rsidR="00A75DD4">
              <w:rPr>
                <w:rFonts w:asciiTheme="minorHAnsi" w:hAnsiTheme="minorHAnsi" w:cstheme="minorHAnsi"/>
                <w:sz w:val="22"/>
                <w:szCs w:val="22"/>
              </w:rPr>
              <w:t>itinerantes,</w:t>
            </w:r>
            <w:r w:rsidR="00B523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5DD4">
              <w:rPr>
                <w:rFonts w:asciiTheme="minorHAnsi" w:hAnsiTheme="minorHAnsi" w:cstheme="minorHAnsi"/>
                <w:sz w:val="22"/>
                <w:szCs w:val="22"/>
              </w:rPr>
              <w:t>viram</w:t>
            </w:r>
            <w:r w:rsidR="00B52303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A75DD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52303">
              <w:rPr>
                <w:rFonts w:asciiTheme="minorHAnsi" w:hAnsiTheme="minorHAnsi" w:cstheme="minorHAnsi"/>
                <w:sz w:val="22"/>
                <w:szCs w:val="22"/>
              </w:rPr>
              <w:t xml:space="preserve">orto </w:t>
            </w:r>
            <w:r w:rsidR="00A75DD4">
              <w:rPr>
                <w:rFonts w:asciiTheme="minorHAnsi" w:hAnsiTheme="minorHAnsi" w:cstheme="minorHAnsi"/>
                <w:sz w:val="22"/>
                <w:szCs w:val="22"/>
              </w:rPr>
              <w:t>Ale</w:t>
            </w:r>
            <w:r w:rsidR="00B52303">
              <w:rPr>
                <w:rFonts w:asciiTheme="minorHAnsi" w:hAnsiTheme="minorHAnsi" w:cstheme="minorHAnsi"/>
                <w:sz w:val="22"/>
                <w:szCs w:val="22"/>
              </w:rPr>
              <w:t xml:space="preserve">gre no dia 08 de novembro.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8A5C13" w:rsidP="008A5C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Especial de Patrimônio Cultural 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8A5C13" w:rsidP="008A5C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042A59" w:rsidRDefault="00363644" w:rsidP="00F518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relato.</w:t>
            </w:r>
          </w:p>
        </w:tc>
      </w:tr>
      <w:tr w:rsidR="008A5C13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DF1176" w:rsidRDefault="008A5C13" w:rsidP="008A5C1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8A5C13" w:rsidRPr="00EA75AE" w:rsidRDefault="008A5C13" w:rsidP="008A5C1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C13" w:rsidRPr="00DF1176" w:rsidTr="001434CC">
        <w:trPr>
          <w:trHeight w:val="284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8A5C13" w:rsidRPr="0014043F" w:rsidRDefault="008A5C13" w:rsidP="008A5C13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A5C1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A5C13" w:rsidRPr="00207E5F" w:rsidRDefault="008A5C13" w:rsidP="008A5C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A5C13" w:rsidRPr="00174214" w:rsidRDefault="008A5C13" w:rsidP="003646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364639"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participantes presentes.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0E6C6E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FA60BA">
        <w:rPr>
          <w:rFonts w:asciiTheme="minorHAnsi" w:hAnsiTheme="minorHAnsi" w:cstheme="minorHAnsi"/>
          <w:sz w:val="22"/>
          <w:szCs w:val="22"/>
        </w:rPr>
        <w:t>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1C468F" w:rsidRDefault="001C468F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05" w:rsidRDefault="00B74005" w:rsidP="004C3048">
      <w:r>
        <w:separator/>
      </w:r>
    </w:p>
  </w:endnote>
  <w:endnote w:type="continuationSeparator" w:id="0">
    <w:p w:rsidR="00B74005" w:rsidRDefault="00B7400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5950FA" w:rsidRDefault="00B7400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4005" w:rsidRPr="005F2A2D" w:rsidRDefault="00B7400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B74005" w:rsidRDefault="00B740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3154B" w:rsidRDefault="00B7400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4005" w:rsidRPr="003F1946" w:rsidRDefault="00B7400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76888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4005" w:rsidRPr="003F1946" w:rsidRDefault="00B7400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74005" w:rsidRPr="00FC6A2F" w:rsidRDefault="00B74005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74005" w:rsidRDefault="00B74005" w:rsidP="006130EF">
    <w:pPr>
      <w:pStyle w:val="Rodap"/>
    </w:pPr>
  </w:p>
  <w:p w:rsidR="00B74005" w:rsidRDefault="00B7400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3154B" w:rsidRDefault="00B7400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4005" w:rsidRPr="003F1946" w:rsidRDefault="00B7400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7688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4005" w:rsidRPr="003F1946" w:rsidRDefault="00B7400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74005" w:rsidRPr="00FC6A2F" w:rsidRDefault="00B74005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74005" w:rsidRDefault="00B740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05" w:rsidRDefault="00B74005" w:rsidP="004C3048">
      <w:r>
        <w:separator/>
      </w:r>
    </w:p>
  </w:footnote>
  <w:footnote w:type="continuationSeparator" w:id="0">
    <w:p w:rsidR="00B74005" w:rsidRDefault="00B7400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E4E5A" w:rsidRDefault="00B7400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4005" w:rsidRDefault="00B7400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Pr="009E4E5A" w:rsidRDefault="00B7400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22</w:t>
    </w:r>
    <w:r w:rsidR="00131A15">
      <w:rPr>
        <w:rFonts w:ascii="DaxCondensed" w:hAnsi="DaxCondensed" w:cs="Arial"/>
        <w:color w:val="386C71"/>
        <w:sz w:val="20"/>
        <w:szCs w:val="20"/>
      </w:rPr>
      <w:t>3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4005" w:rsidRDefault="00B7400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05" w:rsidRDefault="00B74005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22</w:t>
    </w:r>
    <w:r w:rsidR="006031AC">
      <w:rPr>
        <w:rFonts w:ascii="DaxCondensed" w:hAnsi="DaxCondensed" w:cs="Arial"/>
        <w:color w:val="386C71"/>
        <w:sz w:val="20"/>
        <w:szCs w:val="20"/>
      </w:rPr>
      <w:t>3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B74005" w:rsidRDefault="00B740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C633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4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4D74A1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9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6"/>
  </w:num>
  <w:num w:numId="7">
    <w:abstractNumId w:val="3"/>
  </w:num>
  <w:num w:numId="8">
    <w:abstractNumId w:val="5"/>
  </w:num>
  <w:num w:numId="9">
    <w:abstractNumId w:val="28"/>
  </w:num>
  <w:num w:numId="10">
    <w:abstractNumId w:val="33"/>
  </w:num>
  <w:num w:numId="11">
    <w:abstractNumId w:val="22"/>
  </w:num>
  <w:num w:numId="12">
    <w:abstractNumId w:val="45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7"/>
  </w:num>
  <w:num w:numId="18">
    <w:abstractNumId w:val="10"/>
  </w:num>
  <w:num w:numId="19">
    <w:abstractNumId w:val="44"/>
  </w:num>
  <w:num w:numId="20">
    <w:abstractNumId w:val="0"/>
  </w:num>
  <w:num w:numId="21">
    <w:abstractNumId w:val="12"/>
  </w:num>
  <w:num w:numId="22">
    <w:abstractNumId w:val="1"/>
  </w:num>
  <w:num w:numId="23">
    <w:abstractNumId w:val="37"/>
  </w:num>
  <w:num w:numId="24">
    <w:abstractNumId w:val="20"/>
  </w:num>
  <w:num w:numId="25">
    <w:abstractNumId w:val="2"/>
  </w:num>
  <w:num w:numId="26">
    <w:abstractNumId w:val="15"/>
  </w:num>
  <w:num w:numId="27">
    <w:abstractNumId w:val="24"/>
  </w:num>
  <w:num w:numId="28">
    <w:abstractNumId w:val="17"/>
  </w:num>
  <w:num w:numId="29">
    <w:abstractNumId w:val="35"/>
  </w:num>
  <w:num w:numId="30">
    <w:abstractNumId w:val="41"/>
  </w:num>
  <w:num w:numId="31">
    <w:abstractNumId w:val="13"/>
  </w:num>
  <w:num w:numId="32">
    <w:abstractNumId w:val="30"/>
  </w:num>
  <w:num w:numId="33">
    <w:abstractNumId w:val="40"/>
  </w:num>
  <w:num w:numId="34">
    <w:abstractNumId w:val="43"/>
  </w:num>
  <w:num w:numId="35">
    <w:abstractNumId w:val="32"/>
  </w:num>
  <w:num w:numId="36">
    <w:abstractNumId w:val="11"/>
  </w:num>
  <w:num w:numId="37">
    <w:abstractNumId w:val="34"/>
  </w:num>
  <w:num w:numId="38">
    <w:abstractNumId w:val="19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25"/>
  </w:num>
  <w:num w:numId="42">
    <w:abstractNumId w:val="39"/>
  </w:num>
  <w:num w:numId="43">
    <w:abstractNumId w:val="38"/>
  </w:num>
  <w:num w:numId="44">
    <w:abstractNumId w:val="23"/>
  </w:num>
  <w:num w:numId="45">
    <w:abstractNumId w:val="29"/>
  </w:num>
  <w:num w:numId="46">
    <w:abstractNumId w:val="18"/>
  </w:num>
  <w:num w:numId="47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33F7"/>
    <w:rsid w:val="00035612"/>
    <w:rsid w:val="0003596D"/>
    <w:rsid w:val="000375F0"/>
    <w:rsid w:val="00040A86"/>
    <w:rsid w:val="00040B89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2CF3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C0181"/>
    <w:rsid w:val="000C05AC"/>
    <w:rsid w:val="000C12D1"/>
    <w:rsid w:val="000C1A24"/>
    <w:rsid w:val="000C239A"/>
    <w:rsid w:val="000C3500"/>
    <w:rsid w:val="000C5542"/>
    <w:rsid w:val="000C5F1C"/>
    <w:rsid w:val="000C6E9E"/>
    <w:rsid w:val="000C7A3A"/>
    <w:rsid w:val="000D1A55"/>
    <w:rsid w:val="000D2BC9"/>
    <w:rsid w:val="000D3E3E"/>
    <w:rsid w:val="000D4107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F0000"/>
    <w:rsid w:val="000F05B3"/>
    <w:rsid w:val="000F0725"/>
    <w:rsid w:val="000F3341"/>
    <w:rsid w:val="000F339D"/>
    <w:rsid w:val="000F470D"/>
    <w:rsid w:val="000F65EE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2E8E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7FE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5282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5148"/>
    <w:rsid w:val="001B56FB"/>
    <w:rsid w:val="001B5F62"/>
    <w:rsid w:val="001B6533"/>
    <w:rsid w:val="001C1341"/>
    <w:rsid w:val="001C28D0"/>
    <w:rsid w:val="001C3026"/>
    <w:rsid w:val="001C424F"/>
    <w:rsid w:val="001C468F"/>
    <w:rsid w:val="001C476F"/>
    <w:rsid w:val="001C500E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EEA"/>
    <w:rsid w:val="00206600"/>
    <w:rsid w:val="00207E5F"/>
    <w:rsid w:val="00211126"/>
    <w:rsid w:val="002133CA"/>
    <w:rsid w:val="00217AC0"/>
    <w:rsid w:val="00220A16"/>
    <w:rsid w:val="00220B4C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5E86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3719"/>
    <w:rsid w:val="002738F1"/>
    <w:rsid w:val="00273CA3"/>
    <w:rsid w:val="00274FF9"/>
    <w:rsid w:val="00275227"/>
    <w:rsid w:val="002760B8"/>
    <w:rsid w:val="0027688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0C3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65A2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5528"/>
    <w:rsid w:val="0032563B"/>
    <w:rsid w:val="0032578D"/>
    <w:rsid w:val="00325AE2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80761"/>
    <w:rsid w:val="003818E4"/>
    <w:rsid w:val="003825B2"/>
    <w:rsid w:val="003831A7"/>
    <w:rsid w:val="00383F38"/>
    <w:rsid w:val="00385C40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0841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1E"/>
    <w:rsid w:val="00532B64"/>
    <w:rsid w:val="00533BE1"/>
    <w:rsid w:val="0053650D"/>
    <w:rsid w:val="005366CC"/>
    <w:rsid w:val="00536C65"/>
    <w:rsid w:val="0053748C"/>
    <w:rsid w:val="005414E3"/>
    <w:rsid w:val="00541CFD"/>
    <w:rsid w:val="00542985"/>
    <w:rsid w:val="005430BD"/>
    <w:rsid w:val="00544E7D"/>
    <w:rsid w:val="005461A2"/>
    <w:rsid w:val="00547246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0B90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0D8D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47EF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5D4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4FD"/>
    <w:rsid w:val="00702CB6"/>
    <w:rsid w:val="00702CE3"/>
    <w:rsid w:val="007037A5"/>
    <w:rsid w:val="00703C42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10E84"/>
    <w:rsid w:val="00711191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3A12"/>
    <w:rsid w:val="00754485"/>
    <w:rsid w:val="00754489"/>
    <w:rsid w:val="0075456A"/>
    <w:rsid w:val="0075463B"/>
    <w:rsid w:val="007576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81E9E"/>
    <w:rsid w:val="007820AC"/>
    <w:rsid w:val="00782230"/>
    <w:rsid w:val="00782798"/>
    <w:rsid w:val="00782F95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674"/>
    <w:rsid w:val="007F59A2"/>
    <w:rsid w:val="007F5D4B"/>
    <w:rsid w:val="007F674D"/>
    <w:rsid w:val="007F6969"/>
    <w:rsid w:val="007F6AF8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6515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5C13"/>
    <w:rsid w:val="008A7433"/>
    <w:rsid w:val="008B0D7B"/>
    <w:rsid w:val="008B0E7D"/>
    <w:rsid w:val="008B0FC3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DF3"/>
    <w:rsid w:val="008E3F0C"/>
    <w:rsid w:val="008E3F15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FF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4FAF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57B9"/>
    <w:rsid w:val="00975CF9"/>
    <w:rsid w:val="00977BFF"/>
    <w:rsid w:val="009820E0"/>
    <w:rsid w:val="00983B75"/>
    <w:rsid w:val="0098466D"/>
    <w:rsid w:val="00985BE8"/>
    <w:rsid w:val="00986A13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F5"/>
    <w:rsid w:val="009A6918"/>
    <w:rsid w:val="009A7611"/>
    <w:rsid w:val="009A77AE"/>
    <w:rsid w:val="009A7AE8"/>
    <w:rsid w:val="009A7BA4"/>
    <w:rsid w:val="009A7CA2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5064"/>
    <w:rsid w:val="009F60C4"/>
    <w:rsid w:val="009F6878"/>
    <w:rsid w:val="00A00D44"/>
    <w:rsid w:val="00A0185A"/>
    <w:rsid w:val="00A01A2A"/>
    <w:rsid w:val="00A01FC2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6B58"/>
    <w:rsid w:val="00A179BD"/>
    <w:rsid w:val="00A20838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B66"/>
    <w:rsid w:val="00AD2FFE"/>
    <w:rsid w:val="00AD3B4C"/>
    <w:rsid w:val="00AD4573"/>
    <w:rsid w:val="00AD5950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C4A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303"/>
    <w:rsid w:val="00B52D80"/>
    <w:rsid w:val="00B53492"/>
    <w:rsid w:val="00B53612"/>
    <w:rsid w:val="00B57B9D"/>
    <w:rsid w:val="00B6066A"/>
    <w:rsid w:val="00B6269D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B6D"/>
    <w:rsid w:val="00B72DEE"/>
    <w:rsid w:val="00B7321F"/>
    <w:rsid w:val="00B73A02"/>
    <w:rsid w:val="00B74005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5B9D"/>
    <w:rsid w:val="00C15D2B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700"/>
    <w:rsid w:val="00C239C6"/>
    <w:rsid w:val="00C24509"/>
    <w:rsid w:val="00C248BE"/>
    <w:rsid w:val="00C301CA"/>
    <w:rsid w:val="00C30423"/>
    <w:rsid w:val="00C30CBA"/>
    <w:rsid w:val="00C33D54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1E65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23A8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206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2D7D"/>
    <w:rsid w:val="00D536D7"/>
    <w:rsid w:val="00D53844"/>
    <w:rsid w:val="00D54200"/>
    <w:rsid w:val="00D54468"/>
    <w:rsid w:val="00D54E3A"/>
    <w:rsid w:val="00D54E7B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C5A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1308"/>
    <w:rsid w:val="00DB1348"/>
    <w:rsid w:val="00DB159E"/>
    <w:rsid w:val="00DB292D"/>
    <w:rsid w:val="00DB4045"/>
    <w:rsid w:val="00DB6692"/>
    <w:rsid w:val="00DB692D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04E"/>
    <w:rsid w:val="00E121E2"/>
    <w:rsid w:val="00E1272D"/>
    <w:rsid w:val="00E12EC2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04BE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70922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2904"/>
    <w:rsid w:val="00E847DB"/>
    <w:rsid w:val="00E84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62B4"/>
    <w:rsid w:val="00F07041"/>
    <w:rsid w:val="00F07B3B"/>
    <w:rsid w:val="00F106E3"/>
    <w:rsid w:val="00F11D97"/>
    <w:rsid w:val="00F12B88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CC5"/>
    <w:rsid w:val="00F32D9D"/>
    <w:rsid w:val="00F33092"/>
    <w:rsid w:val="00F34C54"/>
    <w:rsid w:val="00F358BF"/>
    <w:rsid w:val="00F35FCA"/>
    <w:rsid w:val="00F36D02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18B2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0600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2CE0"/>
    <w:rsid w:val="00F93420"/>
    <w:rsid w:val="00F95778"/>
    <w:rsid w:val="00F957AF"/>
    <w:rsid w:val="00F96108"/>
    <w:rsid w:val="00F965C7"/>
    <w:rsid w:val="00F97F8D"/>
    <w:rsid w:val="00FA0689"/>
    <w:rsid w:val="00FA1EDB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5E67"/>
    <w:rsid w:val="00FD7CEE"/>
    <w:rsid w:val="00FD7CFB"/>
    <w:rsid w:val="00FE18B5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A6BD-C422-4EC5-92EC-3D648CFC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5</Pages>
  <Words>1652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71</cp:revision>
  <cp:lastPrinted>2021-12-10T20:45:00Z</cp:lastPrinted>
  <dcterms:created xsi:type="dcterms:W3CDTF">2022-03-07T12:56:00Z</dcterms:created>
  <dcterms:modified xsi:type="dcterms:W3CDTF">2022-06-06T13:22:00Z</dcterms:modified>
</cp:coreProperties>
</file>