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4E4B" w:rsidRDefault="00E84E4B">
      <w:pPr>
        <w:spacing w:before="120" w:after="120"/>
        <w:rPr>
          <w:rFonts w:ascii="Times New Roman" w:eastAsia="Calibri" w:hAnsi="Times New Roman"/>
        </w:rPr>
      </w:pPr>
      <w:bookmarkStart w:id="0" w:name="_GoBack"/>
      <w:bookmarkEnd w:id="0"/>
    </w:p>
    <w:tbl>
      <w:tblPr>
        <w:tblW w:w="9003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90"/>
        <w:gridCol w:w="6797"/>
        <w:gridCol w:w="216"/>
      </w:tblGrid>
      <w:tr w:rsidR="00E84E4B">
        <w:tblPrEx>
          <w:tblCellMar>
            <w:top w:w="0" w:type="dxa"/>
            <w:bottom w:w="0" w:type="dxa"/>
          </w:tblCellMar>
        </w:tblPrEx>
        <w:trPr>
          <w:trHeight w:val="350"/>
        </w:trPr>
        <w:tc>
          <w:tcPr>
            <w:tcW w:w="1990" w:type="dxa"/>
            <w:tcBorders>
              <w:top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4E4B" w:rsidRDefault="00E074A2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INTERESSADO</w:t>
            </w:r>
          </w:p>
        </w:tc>
        <w:tc>
          <w:tcPr>
            <w:tcW w:w="7013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4E4B" w:rsidRDefault="00E074A2">
            <w:pPr>
              <w:tabs>
                <w:tab w:val="left" w:pos="1418"/>
              </w:tabs>
              <w:rPr>
                <w:rFonts w:ascii="Times New Roman" w:eastAsia="Calibri" w:hAnsi="Times New Roman"/>
                <w:sz w:val="22"/>
                <w:szCs w:val="22"/>
              </w:rPr>
            </w:pPr>
            <w:r>
              <w:rPr>
                <w:rFonts w:ascii="Times New Roman" w:eastAsia="Calibri" w:hAnsi="Times New Roman"/>
                <w:sz w:val="22"/>
                <w:szCs w:val="22"/>
              </w:rPr>
              <w:t>PROTOCOLOS 1339911 e 1328535</w:t>
            </w:r>
          </w:p>
        </w:tc>
      </w:tr>
      <w:tr w:rsidR="00E84E4B">
        <w:tblPrEx>
          <w:tblCellMar>
            <w:top w:w="0" w:type="dxa"/>
            <w:bottom w:w="0" w:type="dxa"/>
          </w:tblCellMar>
        </w:tblPrEx>
        <w:trPr>
          <w:trHeight w:val="350"/>
        </w:trPr>
        <w:tc>
          <w:tcPr>
            <w:tcW w:w="1990" w:type="dxa"/>
            <w:tcBorders>
              <w:top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4E4B" w:rsidRDefault="00E074A2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OBJETO</w:t>
            </w:r>
          </w:p>
        </w:tc>
        <w:tc>
          <w:tcPr>
            <w:tcW w:w="7013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4E4B" w:rsidRDefault="00E074A2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DESCONTO PAGAMENTO ANUIDADE PESSOA JURÍDICA</w:t>
            </w:r>
          </w:p>
        </w:tc>
      </w:tr>
      <w:tr w:rsidR="00E84E4B">
        <w:tblPrEx>
          <w:tblCellMar>
            <w:top w:w="0" w:type="dxa"/>
            <w:bottom w:w="0" w:type="dxa"/>
          </w:tblCellMar>
        </w:tblPrEx>
        <w:trPr>
          <w:trHeight w:val="455"/>
        </w:trPr>
        <w:tc>
          <w:tcPr>
            <w:tcW w:w="8787" w:type="dxa"/>
            <w:gridSpan w:val="2"/>
            <w:tcBorders>
              <w:top w:val="single" w:sz="12" w:space="0" w:color="808080"/>
              <w:bottom w:val="single" w:sz="12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4E4B" w:rsidRDefault="00E074A2">
            <w:pPr>
              <w:tabs>
                <w:tab w:val="left" w:pos="1418"/>
              </w:tabs>
              <w:jc w:val="center"/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DELIBERAÇÃO Nº 033/2021 – CPF – CAU/RS</w:t>
            </w:r>
          </w:p>
        </w:tc>
        <w:tc>
          <w:tcPr>
            <w:tcW w:w="21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84E4B" w:rsidRDefault="00E84E4B">
            <w:pPr>
              <w:tabs>
                <w:tab w:val="left" w:pos="1418"/>
              </w:tabs>
              <w:jc w:val="center"/>
            </w:pPr>
          </w:p>
        </w:tc>
      </w:tr>
    </w:tbl>
    <w:p w:rsidR="00E84E4B" w:rsidRDefault="00E074A2">
      <w:pPr>
        <w:jc w:val="both"/>
        <w:rPr>
          <w:rFonts w:ascii="Times New Roman" w:hAnsi="Times New Roman"/>
          <w:sz w:val="22"/>
          <w:szCs w:val="22"/>
          <w:lang w:eastAsia="pt-BR"/>
        </w:rPr>
      </w:pPr>
      <w:r>
        <w:rPr>
          <w:rFonts w:ascii="Times New Roman" w:hAnsi="Times New Roman"/>
          <w:sz w:val="22"/>
          <w:szCs w:val="22"/>
          <w:lang w:eastAsia="pt-BR"/>
        </w:rPr>
        <w:t xml:space="preserve">A COMISSÃO DE PLANEJAMENTO E FINANÇAS </w:t>
      </w:r>
      <w:r>
        <w:rPr>
          <w:rFonts w:ascii="Times New Roman" w:hAnsi="Times New Roman"/>
          <w:sz w:val="22"/>
          <w:szCs w:val="22"/>
          <w:lang w:eastAsia="pt-BR"/>
        </w:rPr>
        <w:t xml:space="preserve">(CPFI-CAU/RS), reunida ordinariamente em Porto Alegre - RS, na sede do CAU/RS, no dia 17 de Agosto de 2021, no uso das competências que lhe confere o art. 97 do Regimento Interno do CAU/RS, após análise do assunto em epígrafe, </w:t>
      </w:r>
      <w:proofErr w:type="gramStart"/>
      <w:r>
        <w:rPr>
          <w:rFonts w:ascii="Times New Roman" w:hAnsi="Times New Roman"/>
          <w:sz w:val="22"/>
          <w:szCs w:val="22"/>
          <w:lang w:eastAsia="pt-BR"/>
        </w:rPr>
        <w:t>e</w:t>
      </w:r>
      <w:proofErr w:type="gramEnd"/>
    </w:p>
    <w:p w:rsidR="00E84E4B" w:rsidRDefault="00E84E4B">
      <w:pPr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E84E4B" w:rsidRDefault="00E074A2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Considerando que o inciso </w:t>
      </w:r>
      <w:r>
        <w:rPr>
          <w:rFonts w:ascii="Times New Roman" w:hAnsi="Times New Roman"/>
          <w:sz w:val="22"/>
          <w:szCs w:val="22"/>
        </w:rPr>
        <w:t xml:space="preserve">VI, do art. 34, da Lei nº 12.378/2010, estabelece que </w:t>
      </w:r>
      <w:proofErr w:type="gramStart"/>
      <w:r>
        <w:rPr>
          <w:rFonts w:ascii="Times New Roman" w:hAnsi="Times New Roman"/>
          <w:sz w:val="22"/>
          <w:szCs w:val="22"/>
        </w:rPr>
        <w:t>compete</w:t>
      </w:r>
      <w:proofErr w:type="gramEnd"/>
      <w:r>
        <w:rPr>
          <w:rFonts w:ascii="Times New Roman" w:hAnsi="Times New Roman"/>
          <w:sz w:val="22"/>
          <w:szCs w:val="22"/>
        </w:rPr>
        <w:t xml:space="preserve"> aos </w:t>
      </w:r>
      <w:proofErr w:type="spellStart"/>
      <w:r>
        <w:rPr>
          <w:rFonts w:ascii="Times New Roman" w:hAnsi="Times New Roman"/>
          <w:sz w:val="22"/>
          <w:szCs w:val="22"/>
        </w:rPr>
        <w:t>CAUs</w:t>
      </w:r>
      <w:proofErr w:type="spellEnd"/>
      <w:r>
        <w:rPr>
          <w:rFonts w:ascii="Times New Roman" w:hAnsi="Times New Roman"/>
          <w:sz w:val="22"/>
          <w:szCs w:val="22"/>
        </w:rPr>
        <w:t xml:space="preserve"> a cobrança das anuidades;</w:t>
      </w:r>
    </w:p>
    <w:p w:rsidR="00E84E4B" w:rsidRDefault="00E84E4B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E84E4B" w:rsidRDefault="00E074A2">
      <w:pPr>
        <w:pStyle w:val="NormalWeb"/>
        <w:shd w:val="clear" w:color="auto" w:fill="FFFFFF"/>
        <w:suppressAutoHyphens w:val="0"/>
        <w:spacing w:before="75" w:after="75"/>
        <w:jc w:val="both"/>
        <w:textAlignment w:val="auto"/>
      </w:pPr>
      <w:r>
        <w:rPr>
          <w:sz w:val="22"/>
          <w:szCs w:val="22"/>
        </w:rPr>
        <w:t>Considerando o disposto no art. 7º, inciso I, II e III da Resolução nº 193 do CAU/BR, o qual est</w:t>
      </w:r>
      <w:r>
        <w:rPr>
          <w:sz w:val="22"/>
          <w:szCs w:val="22"/>
        </w:rPr>
        <w:t>a</w:t>
      </w:r>
      <w:r>
        <w:rPr>
          <w:sz w:val="22"/>
          <w:szCs w:val="22"/>
        </w:rPr>
        <w:t xml:space="preserve">belece que </w:t>
      </w:r>
      <w:proofErr w:type="gramStart"/>
      <w:r>
        <w:rPr>
          <w:sz w:val="22"/>
          <w:szCs w:val="22"/>
        </w:rPr>
        <w:t>“</w:t>
      </w:r>
      <w:r>
        <w:rPr>
          <w:rFonts w:ascii="Times New Roman" w:hAnsi="Times New Roman"/>
          <w:i/>
          <w:sz w:val="22"/>
          <w:szCs w:val="22"/>
        </w:rPr>
        <w:t>Art. 7° A anuidade do exercício devida por pessoa</w:t>
      </w:r>
      <w:r>
        <w:rPr>
          <w:rFonts w:ascii="Times New Roman" w:hAnsi="Times New Roman"/>
          <w:i/>
          <w:sz w:val="22"/>
          <w:szCs w:val="22"/>
        </w:rPr>
        <w:t>s jurídicas poderá ser paga nos seguintes prazos e condições:</w:t>
      </w:r>
    </w:p>
    <w:p w:rsidR="00E84E4B" w:rsidRDefault="00E074A2">
      <w:pPr>
        <w:pStyle w:val="NormalWeb"/>
        <w:shd w:val="clear" w:color="auto" w:fill="FFFFFF"/>
        <w:suppressAutoHyphens w:val="0"/>
        <w:spacing w:before="75" w:after="75"/>
        <w:jc w:val="both"/>
        <w:textAlignment w:val="auto"/>
      </w:pPr>
      <w:proofErr w:type="gramEnd"/>
      <w:r>
        <w:rPr>
          <w:rFonts w:ascii="Times New Roman" w:hAnsi="Times New Roman"/>
          <w:i/>
          <w:sz w:val="22"/>
          <w:szCs w:val="22"/>
        </w:rPr>
        <w:t xml:space="preserve">I – até 31 de julho, de forma integral, com desconto de 10% (dez por cento), ou em até </w:t>
      </w:r>
      <w:proofErr w:type="gramStart"/>
      <w:r>
        <w:rPr>
          <w:rFonts w:ascii="Times New Roman" w:hAnsi="Times New Roman"/>
          <w:i/>
          <w:sz w:val="22"/>
          <w:szCs w:val="22"/>
        </w:rPr>
        <w:t>6</w:t>
      </w:r>
      <w:proofErr w:type="gramEnd"/>
      <w:r>
        <w:rPr>
          <w:rFonts w:ascii="Times New Roman" w:hAnsi="Times New Roman"/>
          <w:i/>
          <w:sz w:val="22"/>
          <w:szCs w:val="22"/>
        </w:rPr>
        <w:t xml:space="preserve"> (seis) parcelas, iguais e sucessivas, sem desconto, com vencimentos no último dia dos meses de julho, </w:t>
      </w:r>
      <w:proofErr w:type="gramStart"/>
      <w:r>
        <w:rPr>
          <w:rFonts w:ascii="Times New Roman" w:hAnsi="Times New Roman"/>
          <w:i/>
          <w:sz w:val="22"/>
          <w:szCs w:val="22"/>
        </w:rPr>
        <w:t>ago</w:t>
      </w:r>
      <w:r>
        <w:rPr>
          <w:rFonts w:ascii="Times New Roman" w:hAnsi="Times New Roman"/>
          <w:i/>
          <w:sz w:val="22"/>
          <w:szCs w:val="22"/>
        </w:rPr>
        <w:t>sto</w:t>
      </w:r>
      <w:proofErr w:type="gramEnd"/>
      <w:r>
        <w:rPr>
          <w:rFonts w:ascii="Times New Roman" w:hAnsi="Times New Roman"/>
          <w:i/>
          <w:sz w:val="22"/>
          <w:szCs w:val="22"/>
        </w:rPr>
        <w:t>, setembro, outubro e novembro, e dia 20 de dezembro do respectivo exercício, ou, não se</w:t>
      </w:r>
      <w:r>
        <w:rPr>
          <w:rFonts w:ascii="Times New Roman" w:hAnsi="Times New Roman"/>
          <w:i/>
          <w:sz w:val="22"/>
          <w:szCs w:val="22"/>
        </w:rPr>
        <w:t>n</w:t>
      </w:r>
      <w:r>
        <w:rPr>
          <w:rFonts w:ascii="Times New Roman" w:hAnsi="Times New Roman"/>
          <w:i/>
          <w:sz w:val="22"/>
          <w:szCs w:val="22"/>
        </w:rPr>
        <w:t>do estes dias úteis, até o primeiro dia útil subsequente; </w:t>
      </w:r>
    </w:p>
    <w:p w:rsidR="00E84E4B" w:rsidRDefault="00E074A2">
      <w:pPr>
        <w:pStyle w:val="NormalWeb"/>
        <w:shd w:val="clear" w:color="auto" w:fill="FFFFFF"/>
        <w:suppressAutoHyphens w:val="0"/>
        <w:spacing w:before="75" w:after="75"/>
        <w:jc w:val="both"/>
        <w:textAlignment w:val="auto"/>
        <w:rPr>
          <w:rFonts w:ascii="Times New Roman" w:hAnsi="Times New Roman"/>
          <w:i/>
          <w:sz w:val="22"/>
          <w:szCs w:val="22"/>
        </w:rPr>
      </w:pPr>
      <w:r>
        <w:rPr>
          <w:rFonts w:ascii="Times New Roman" w:hAnsi="Times New Roman"/>
          <w:i/>
          <w:sz w:val="22"/>
          <w:szCs w:val="22"/>
        </w:rPr>
        <w:t xml:space="preserve">II – até 31 de agosto, de forma integral, com desconto de 5% (cinco por cento), ou em até </w:t>
      </w:r>
      <w:proofErr w:type="gramStart"/>
      <w:r>
        <w:rPr>
          <w:rFonts w:ascii="Times New Roman" w:hAnsi="Times New Roman"/>
          <w:i/>
          <w:sz w:val="22"/>
          <w:szCs w:val="22"/>
        </w:rPr>
        <w:t>5</w:t>
      </w:r>
      <w:proofErr w:type="gramEnd"/>
      <w:r>
        <w:rPr>
          <w:rFonts w:ascii="Times New Roman" w:hAnsi="Times New Roman"/>
          <w:i/>
          <w:sz w:val="22"/>
          <w:szCs w:val="22"/>
        </w:rPr>
        <w:t xml:space="preserve"> (cinco) parce</w:t>
      </w:r>
      <w:r>
        <w:rPr>
          <w:rFonts w:ascii="Times New Roman" w:hAnsi="Times New Roman"/>
          <w:i/>
          <w:sz w:val="22"/>
          <w:szCs w:val="22"/>
        </w:rPr>
        <w:t>las, iguais e sucessivas, sem desconto, com vencimentos no último dia dos meses de agosto, setembro, outubro e novembro, e dia 20 de dezembro do respectivo exercício, ou, não sendo estes dias úteis, até o primeiro dia útil subsequente; e</w:t>
      </w:r>
    </w:p>
    <w:p w:rsidR="00E84E4B" w:rsidRDefault="00E074A2">
      <w:pPr>
        <w:pStyle w:val="NormalWeb"/>
        <w:shd w:val="clear" w:color="auto" w:fill="FFFFFF"/>
        <w:suppressAutoHyphens w:val="0"/>
        <w:spacing w:before="75" w:after="75"/>
        <w:jc w:val="both"/>
        <w:textAlignment w:val="auto"/>
      </w:pPr>
      <w:r>
        <w:rPr>
          <w:rFonts w:ascii="Times New Roman" w:hAnsi="Times New Roman"/>
          <w:i/>
          <w:sz w:val="22"/>
          <w:szCs w:val="22"/>
        </w:rPr>
        <w:t>III – até 30 de se</w:t>
      </w:r>
      <w:r>
        <w:rPr>
          <w:rFonts w:ascii="Times New Roman" w:hAnsi="Times New Roman"/>
          <w:i/>
          <w:sz w:val="22"/>
          <w:szCs w:val="22"/>
        </w:rPr>
        <w:t xml:space="preserve">tembro, de forma integral, sem desconto, ou em até </w:t>
      </w:r>
      <w:proofErr w:type="gramStart"/>
      <w:r>
        <w:rPr>
          <w:rFonts w:ascii="Times New Roman" w:hAnsi="Times New Roman"/>
          <w:i/>
          <w:sz w:val="22"/>
          <w:szCs w:val="22"/>
        </w:rPr>
        <w:t>4</w:t>
      </w:r>
      <w:proofErr w:type="gramEnd"/>
      <w:r>
        <w:rPr>
          <w:rFonts w:ascii="Times New Roman" w:hAnsi="Times New Roman"/>
          <w:i/>
          <w:sz w:val="22"/>
          <w:szCs w:val="22"/>
        </w:rPr>
        <w:t xml:space="preserve"> (quatro) parcelas, iguais e sucessivas, com vencimentos no último dia dos meses de setembro, outubro e novembro, e dia 20 de dezembro do respectivo exercício, ou, não sendo estes dias úteis, até o primei</w:t>
      </w:r>
      <w:r>
        <w:rPr>
          <w:rFonts w:ascii="Times New Roman" w:hAnsi="Times New Roman"/>
          <w:i/>
          <w:sz w:val="22"/>
          <w:szCs w:val="22"/>
        </w:rPr>
        <w:t>ro dia útil subs</w:t>
      </w:r>
      <w:r>
        <w:rPr>
          <w:rFonts w:ascii="Times New Roman" w:hAnsi="Times New Roman"/>
          <w:i/>
          <w:sz w:val="22"/>
          <w:szCs w:val="22"/>
        </w:rPr>
        <w:t>e</w:t>
      </w:r>
      <w:r>
        <w:rPr>
          <w:rFonts w:ascii="Times New Roman" w:hAnsi="Times New Roman"/>
          <w:i/>
          <w:sz w:val="22"/>
          <w:szCs w:val="22"/>
        </w:rPr>
        <w:t>quente.</w:t>
      </w:r>
    </w:p>
    <w:p w:rsidR="00E84E4B" w:rsidRDefault="00E074A2">
      <w:pPr>
        <w:pStyle w:val="NormalWeb"/>
        <w:shd w:val="clear" w:color="auto" w:fill="FFFFFF"/>
        <w:suppressAutoHyphens w:val="0"/>
        <w:spacing w:before="75" w:after="75"/>
        <w:jc w:val="both"/>
        <w:textAlignment w:val="auto"/>
        <w:rPr>
          <w:rFonts w:ascii="Times New Roman" w:hAnsi="Times New Roman"/>
          <w:i/>
          <w:sz w:val="22"/>
          <w:szCs w:val="22"/>
        </w:rPr>
      </w:pPr>
      <w:r>
        <w:rPr>
          <w:rFonts w:ascii="Times New Roman" w:hAnsi="Times New Roman"/>
          <w:i/>
          <w:sz w:val="22"/>
          <w:szCs w:val="22"/>
        </w:rPr>
        <w:t>1º Além dos descontos previstos nos incisos I e II do art. 7º, para o pagamento integral, à vista, da anuidade, será concedido desconto adicional de:</w:t>
      </w:r>
    </w:p>
    <w:p w:rsidR="00E84E4B" w:rsidRDefault="00E074A2">
      <w:pPr>
        <w:pStyle w:val="NormalWeb"/>
        <w:shd w:val="clear" w:color="auto" w:fill="FFFFFF"/>
        <w:suppressAutoHyphens w:val="0"/>
        <w:spacing w:before="75" w:after="75"/>
        <w:jc w:val="both"/>
        <w:textAlignment w:val="auto"/>
        <w:rPr>
          <w:rFonts w:ascii="Times New Roman" w:hAnsi="Times New Roman"/>
          <w:i/>
          <w:sz w:val="22"/>
          <w:szCs w:val="22"/>
        </w:rPr>
      </w:pPr>
      <w:r>
        <w:rPr>
          <w:rFonts w:ascii="Times New Roman" w:hAnsi="Times New Roman"/>
          <w:i/>
          <w:sz w:val="22"/>
          <w:szCs w:val="22"/>
        </w:rPr>
        <w:t>a) 90% (noventa por cento) para pessoas jurídicas com um único sócio e que este s</w:t>
      </w:r>
      <w:r>
        <w:rPr>
          <w:rFonts w:ascii="Times New Roman" w:hAnsi="Times New Roman"/>
          <w:i/>
          <w:sz w:val="22"/>
          <w:szCs w:val="22"/>
        </w:rPr>
        <w:t xml:space="preserve">eja arquiteto e urbanista; </w:t>
      </w:r>
      <w:proofErr w:type="gramStart"/>
      <w:r>
        <w:rPr>
          <w:rFonts w:ascii="Times New Roman" w:hAnsi="Times New Roman"/>
          <w:i/>
          <w:sz w:val="22"/>
          <w:szCs w:val="22"/>
        </w:rPr>
        <w:t>ou</w:t>
      </w:r>
      <w:proofErr w:type="gramEnd"/>
    </w:p>
    <w:p w:rsidR="00E84E4B" w:rsidRDefault="00E074A2">
      <w:pPr>
        <w:pStyle w:val="NormalWeb"/>
        <w:shd w:val="clear" w:color="auto" w:fill="FFFFFF"/>
        <w:suppressAutoHyphens w:val="0"/>
        <w:spacing w:before="75" w:after="75"/>
        <w:jc w:val="both"/>
        <w:textAlignment w:val="auto"/>
        <w:rPr>
          <w:rFonts w:ascii="Times New Roman" w:hAnsi="Times New Roman"/>
          <w:i/>
          <w:sz w:val="22"/>
          <w:szCs w:val="22"/>
        </w:rPr>
      </w:pPr>
      <w:r>
        <w:rPr>
          <w:rFonts w:ascii="Times New Roman" w:hAnsi="Times New Roman"/>
          <w:i/>
          <w:sz w:val="22"/>
          <w:szCs w:val="22"/>
        </w:rPr>
        <w:t xml:space="preserve">b) 50% (cinquenta por cento) para pessoas jurídicas cujo quadro social seja composto por até </w:t>
      </w:r>
      <w:proofErr w:type="gramStart"/>
      <w:r>
        <w:rPr>
          <w:rFonts w:ascii="Times New Roman" w:hAnsi="Times New Roman"/>
          <w:i/>
          <w:sz w:val="22"/>
          <w:szCs w:val="22"/>
        </w:rPr>
        <w:t>3</w:t>
      </w:r>
      <w:proofErr w:type="gramEnd"/>
      <w:r>
        <w:rPr>
          <w:rFonts w:ascii="Times New Roman" w:hAnsi="Times New Roman"/>
          <w:i/>
          <w:sz w:val="22"/>
          <w:szCs w:val="22"/>
        </w:rPr>
        <w:t xml:space="preserve"> (três) arquitetos e urbanistas, ou que conte até 5 (cinco) anos de constituição. </w:t>
      </w:r>
    </w:p>
    <w:p w:rsidR="00E84E4B" w:rsidRDefault="00E074A2">
      <w:pPr>
        <w:pStyle w:val="NormalWeb"/>
        <w:shd w:val="clear" w:color="auto" w:fill="FFFFFF"/>
        <w:suppressAutoHyphens w:val="0"/>
        <w:spacing w:before="75" w:after="75"/>
        <w:jc w:val="both"/>
        <w:textAlignment w:val="auto"/>
        <w:rPr>
          <w:rFonts w:ascii="Times New Roman" w:hAnsi="Times New Roman"/>
          <w:i/>
          <w:sz w:val="22"/>
          <w:szCs w:val="22"/>
        </w:rPr>
      </w:pPr>
      <w:r>
        <w:rPr>
          <w:rFonts w:ascii="Times New Roman" w:hAnsi="Times New Roman"/>
          <w:i/>
          <w:sz w:val="22"/>
          <w:szCs w:val="22"/>
        </w:rPr>
        <w:t>2º O desconto adicional referente ao § 1º deste a</w:t>
      </w:r>
      <w:r>
        <w:rPr>
          <w:rFonts w:ascii="Times New Roman" w:hAnsi="Times New Roman"/>
          <w:i/>
          <w:sz w:val="22"/>
          <w:szCs w:val="22"/>
        </w:rPr>
        <w:t xml:space="preserve">rtigo deverá ser requerido ao CAU/UF, a cada </w:t>
      </w:r>
      <w:proofErr w:type="gramStart"/>
      <w:r>
        <w:rPr>
          <w:rFonts w:ascii="Times New Roman" w:hAnsi="Times New Roman"/>
          <w:i/>
          <w:sz w:val="22"/>
          <w:szCs w:val="22"/>
        </w:rPr>
        <w:t>3</w:t>
      </w:r>
      <w:proofErr w:type="gramEnd"/>
      <w:r>
        <w:rPr>
          <w:rFonts w:ascii="Times New Roman" w:hAnsi="Times New Roman"/>
          <w:i/>
          <w:sz w:val="22"/>
          <w:szCs w:val="22"/>
        </w:rPr>
        <w:t xml:space="preserve"> (três) anos, mediante apresentação, até 31 de março do exercício corrente, de certidão emitida a menos de 60 (sessenta) dias pela junta comercial ou órgão equivalente;”</w:t>
      </w:r>
    </w:p>
    <w:p w:rsidR="00E84E4B" w:rsidRDefault="00E84E4B">
      <w:pPr>
        <w:pStyle w:val="NormalWeb"/>
        <w:shd w:val="clear" w:color="auto" w:fill="FFFFFF"/>
        <w:suppressAutoHyphens w:val="0"/>
        <w:spacing w:before="75" w:after="75"/>
        <w:jc w:val="both"/>
        <w:textAlignment w:val="auto"/>
        <w:rPr>
          <w:rFonts w:ascii="Times New Roman" w:hAnsi="Times New Roman"/>
          <w:i/>
          <w:sz w:val="22"/>
          <w:szCs w:val="22"/>
        </w:rPr>
      </w:pPr>
    </w:p>
    <w:p w:rsidR="00E84E4B" w:rsidRDefault="00E074A2">
      <w:pPr>
        <w:pStyle w:val="NormalWeb"/>
        <w:shd w:val="clear" w:color="auto" w:fill="FFFFFF"/>
        <w:suppressAutoHyphens w:val="0"/>
        <w:spacing w:before="75" w:after="75"/>
        <w:jc w:val="both"/>
        <w:textAlignment w:val="auto"/>
      </w:pPr>
      <w:r>
        <w:rPr>
          <w:rFonts w:ascii="Times New Roman" w:hAnsi="Times New Roman"/>
          <w:sz w:val="22"/>
          <w:szCs w:val="22"/>
        </w:rPr>
        <w:t>Considerando que o prazo para requerime</w:t>
      </w:r>
      <w:r>
        <w:rPr>
          <w:rFonts w:ascii="Times New Roman" w:hAnsi="Times New Roman"/>
          <w:sz w:val="22"/>
          <w:szCs w:val="22"/>
        </w:rPr>
        <w:t>nto do desconto adicional previsto no art. 7º, § 1ºda Res</w:t>
      </w:r>
      <w:r>
        <w:rPr>
          <w:rFonts w:ascii="Times New Roman" w:hAnsi="Times New Roman"/>
          <w:sz w:val="22"/>
          <w:szCs w:val="22"/>
        </w:rPr>
        <w:t>o</w:t>
      </w:r>
      <w:r>
        <w:rPr>
          <w:rFonts w:ascii="Times New Roman" w:hAnsi="Times New Roman"/>
          <w:sz w:val="22"/>
          <w:szCs w:val="22"/>
        </w:rPr>
        <w:t>lução 193 do CAU/BR, inicialmente era 31 de março do exercício corrente;</w:t>
      </w:r>
    </w:p>
    <w:p w:rsidR="00E84E4B" w:rsidRDefault="00E84E4B">
      <w:pPr>
        <w:pStyle w:val="NormalWeb"/>
        <w:shd w:val="clear" w:color="auto" w:fill="FFFFFF"/>
        <w:suppressAutoHyphens w:val="0"/>
        <w:spacing w:before="75" w:after="75"/>
        <w:jc w:val="both"/>
        <w:textAlignment w:val="auto"/>
        <w:rPr>
          <w:rFonts w:ascii="Times New Roman" w:hAnsi="Times New Roman"/>
          <w:sz w:val="22"/>
          <w:szCs w:val="22"/>
        </w:rPr>
      </w:pPr>
    </w:p>
    <w:p w:rsidR="00E84E4B" w:rsidRDefault="00E074A2">
      <w:pPr>
        <w:pStyle w:val="NormalWeb"/>
        <w:shd w:val="clear" w:color="auto" w:fill="FFFFFF"/>
        <w:suppressAutoHyphens w:val="0"/>
        <w:spacing w:before="75" w:after="75"/>
        <w:jc w:val="both"/>
        <w:textAlignment w:val="auto"/>
      </w:pPr>
      <w:r>
        <w:rPr>
          <w:rFonts w:ascii="Times New Roman" w:hAnsi="Times New Roman"/>
          <w:sz w:val="22"/>
          <w:szCs w:val="22"/>
        </w:rPr>
        <w:t xml:space="preserve">Considerando que o prazo foi prorrogado pela Deliberação Plenária AD Referendum nº 02/2021-CAU-BR, para 31 de maio de 2021, </w:t>
      </w:r>
      <w:r>
        <w:rPr>
          <w:rFonts w:ascii="Times New Roman" w:hAnsi="Times New Roman"/>
          <w:sz w:val="22"/>
          <w:szCs w:val="22"/>
        </w:rPr>
        <w:t>concedendo maior prazo para que as pessoas jurídicas pude</w:t>
      </w:r>
      <w:r>
        <w:rPr>
          <w:rFonts w:ascii="Times New Roman" w:hAnsi="Times New Roman"/>
          <w:sz w:val="22"/>
          <w:szCs w:val="22"/>
        </w:rPr>
        <w:t>s</w:t>
      </w:r>
      <w:r>
        <w:rPr>
          <w:rFonts w:ascii="Times New Roman" w:hAnsi="Times New Roman"/>
          <w:sz w:val="22"/>
          <w:szCs w:val="22"/>
        </w:rPr>
        <w:t>sem requerer o desconto adicional;</w:t>
      </w:r>
    </w:p>
    <w:p w:rsidR="00E84E4B" w:rsidRDefault="00E84E4B">
      <w:pPr>
        <w:pStyle w:val="NormalWeb"/>
        <w:shd w:val="clear" w:color="auto" w:fill="FFFFFF"/>
        <w:suppressAutoHyphens w:val="0"/>
        <w:spacing w:before="75" w:after="75"/>
        <w:jc w:val="both"/>
        <w:textAlignment w:val="auto"/>
        <w:rPr>
          <w:rFonts w:ascii="Times New Roman" w:hAnsi="Times New Roman"/>
          <w:sz w:val="22"/>
          <w:szCs w:val="22"/>
        </w:rPr>
      </w:pPr>
    </w:p>
    <w:p w:rsidR="00E84E4B" w:rsidRDefault="00E074A2">
      <w:pPr>
        <w:pStyle w:val="NormalWeb"/>
        <w:shd w:val="clear" w:color="auto" w:fill="FFFFFF"/>
        <w:suppressAutoHyphens w:val="0"/>
        <w:spacing w:before="75" w:after="75"/>
        <w:jc w:val="both"/>
        <w:textAlignment w:val="auto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Considerando que após análise do corpo técnico verificou-se que os requerimentos foram efetuados no SICCAU intempestivamente, após o dia 31 de maio de 2021;</w:t>
      </w:r>
    </w:p>
    <w:p w:rsidR="00E84E4B" w:rsidRDefault="00E84E4B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E84E4B" w:rsidRDefault="00E074A2">
      <w:pPr>
        <w:tabs>
          <w:tab w:val="left" w:pos="1418"/>
        </w:tabs>
        <w:spacing w:before="120" w:after="120"/>
        <w:jc w:val="both"/>
      </w:pPr>
      <w:r>
        <w:rPr>
          <w:rFonts w:ascii="Times New Roman" w:hAnsi="Times New Roman"/>
          <w:b/>
          <w:sz w:val="22"/>
          <w:szCs w:val="22"/>
        </w:rPr>
        <w:t>DELI</w:t>
      </w:r>
      <w:r>
        <w:rPr>
          <w:rFonts w:ascii="Times New Roman" w:hAnsi="Times New Roman"/>
          <w:b/>
          <w:sz w:val="22"/>
          <w:szCs w:val="22"/>
        </w:rPr>
        <w:t>BERA</w:t>
      </w:r>
      <w:r>
        <w:rPr>
          <w:rFonts w:ascii="Times New Roman" w:hAnsi="Times New Roman"/>
          <w:sz w:val="22"/>
          <w:szCs w:val="22"/>
        </w:rPr>
        <w:t xml:space="preserve"> por:</w:t>
      </w:r>
    </w:p>
    <w:p w:rsidR="00E84E4B" w:rsidRDefault="00E074A2">
      <w:pPr>
        <w:pStyle w:val="PargrafodaLista"/>
        <w:numPr>
          <w:ilvl w:val="0"/>
          <w:numId w:val="1"/>
        </w:numPr>
        <w:tabs>
          <w:tab w:val="left" w:pos="284"/>
        </w:tabs>
        <w:spacing w:before="120" w:after="120"/>
        <w:ind w:left="284" w:hanging="284"/>
        <w:jc w:val="both"/>
      </w:pPr>
      <w:r>
        <w:rPr>
          <w:rFonts w:ascii="Times New Roman" w:hAnsi="Times New Roman"/>
          <w:sz w:val="22"/>
          <w:szCs w:val="22"/>
          <w:lang w:eastAsia="pt-BR"/>
        </w:rPr>
        <w:t xml:space="preserve">Aprovar a improcedência das solicitações de desconto da anuidade 2021, por serem intempestivas, </w:t>
      </w:r>
      <w:r>
        <w:rPr>
          <w:rFonts w:ascii="Times New Roman" w:hAnsi="Times New Roman"/>
          <w:sz w:val="22"/>
          <w:szCs w:val="22"/>
        </w:rPr>
        <w:t>com base nos elementos probatórios existentes no sistema de informação SICCAU.</w:t>
      </w:r>
    </w:p>
    <w:p w:rsidR="00E84E4B" w:rsidRDefault="00E074A2">
      <w:pPr>
        <w:pStyle w:val="PargrafodaLista"/>
        <w:numPr>
          <w:ilvl w:val="0"/>
          <w:numId w:val="1"/>
        </w:numPr>
        <w:tabs>
          <w:tab w:val="left" w:pos="284"/>
        </w:tabs>
        <w:spacing w:before="120" w:after="120"/>
        <w:ind w:left="284" w:hanging="284"/>
        <w:jc w:val="both"/>
      </w:pPr>
      <w:r>
        <w:rPr>
          <w:rFonts w:ascii="Times New Roman" w:hAnsi="Times New Roman"/>
          <w:sz w:val="22"/>
          <w:szCs w:val="22"/>
          <w:lang w:eastAsia="pt-BR"/>
        </w:rPr>
        <w:t>Conceder o desconto das anuidades 2022 e 2023, se as empresas atenderem</w:t>
      </w:r>
      <w:r>
        <w:rPr>
          <w:rFonts w:ascii="Times New Roman" w:hAnsi="Times New Roman"/>
          <w:sz w:val="22"/>
          <w:szCs w:val="22"/>
          <w:lang w:eastAsia="pt-BR"/>
        </w:rPr>
        <w:t xml:space="preserve"> o previsto no art. 7º, </w:t>
      </w:r>
      <w:proofErr w:type="gramStart"/>
      <w:r>
        <w:rPr>
          <w:rFonts w:ascii="Times New Roman" w:hAnsi="Times New Roman"/>
          <w:sz w:val="22"/>
          <w:szCs w:val="22"/>
        </w:rPr>
        <w:t>§ 1º, alínea a) e b)</w:t>
      </w:r>
      <w:proofErr w:type="gramEnd"/>
      <w:r>
        <w:rPr>
          <w:rFonts w:ascii="Times New Roman" w:hAnsi="Times New Roman"/>
          <w:sz w:val="22"/>
          <w:szCs w:val="22"/>
        </w:rPr>
        <w:t>, e § 2º da Resolução 193 do CAU/BR.</w:t>
      </w:r>
    </w:p>
    <w:p w:rsidR="00E84E4B" w:rsidRDefault="00E074A2">
      <w:pPr>
        <w:pStyle w:val="PargrafodaLista"/>
        <w:numPr>
          <w:ilvl w:val="0"/>
          <w:numId w:val="1"/>
        </w:numPr>
        <w:tabs>
          <w:tab w:val="left" w:pos="284"/>
        </w:tabs>
        <w:spacing w:before="120" w:after="120"/>
        <w:ind w:left="284" w:hanging="284"/>
        <w:jc w:val="both"/>
      </w:pPr>
      <w:r>
        <w:rPr>
          <w:rFonts w:ascii="Times New Roman" w:hAnsi="Times New Roman"/>
          <w:sz w:val="22"/>
          <w:szCs w:val="22"/>
          <w:lang w:eastAsia="pt-BR"/>
        </w:rPr>
        <w:t>Encaminhar</w:t>
      </w:r>
      <w:r>
        <w:rPr>
          <w:rFonts w:ascii="Times New Roman" w:hAnsi="Times New Roman"/>
          <w:sz w:val="22"/>
          <w:szCs w:val="22"/>
        </w:rPr>
        <w:t xml:space="preserve"> à Gerência de Atendimento do CAU/RS:</w:t>
      </w:r>
    </w:p>
    <w:p w:rsidR="00E84E4B" w:rsidRDefault="00E074A2">
      <w:pPr>
        <w:pStyle w:val="PargrafodaLista"/>
        <w:numPr>
          <w:ilvl w:val="0"/>
          <w:numId w:val="2"/>
        </w:numPr>
        <w:spacing w:before="120" w:after="120"/>
        <w:ind w:left="567" w:hanging="283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Para notificar a parte interessada do teor da decisão e providenciar que sejam realizados os ajustes necessários quanto às anui</w:t>
      </w:r>
      <w:r>
        <w:rPr>
          <w:rFonts w:ascii="Times New Roman" w:hAnsi="Times New Roman"/>
          <w:sz w:val="22"/>
          <w:szCs w:val="22"/>
        </w:rPr>
        <w:t>dades da pessoa jurídica;</w:t>
      </w:r>
    </w:p>
    <w:p w:rsidR="00E84E4B" w:rsidRDefault="00E84E4B">
      <w:pPr>
        <w:spacing w:before="120" w:after="120"/>
        <w:jc w:val="both"/>
        <w:rPr>
          <w:rFonts w:ascii="Times New Roman" w:hAnsi="Times New Roman"/>
          <w:sz w:val="22"/>
          <w:szCs w:val="22"/>
        </w:rPr>
      </w:pPr>
    </w:p>
    <w:p w:rsidR="00E84E4B" w:rsidRDefault="00E074A2">
      <w:pPr>
        <w:jc w:val="both"/>
      </w:pPr>
      <w:r>
        <w:rPr>
          <w:rFonts w:ascii="Times New Roman" w:hAnsi="Times New Roman"/>
          <w:sz w:val="22"/>
          <w:szCs w:val="22"/>
          <w:lang w:eastAsia="pt-BR"/>
        </w:rPr>
        <w:t xml:space="preserve">Com </w:t>
      </w:r>
      <w:r>
        <w:rPr>
          <w:rFonts w:ascii="Times New Roman" w:hAnsi="Times New Roman"/>
          <w:b/>
          <w:sz w:val="22"/>
          <w:szCs w:val="22"/>
          <w:lang w:eastAsia="pt-BR"/>
        </w:rPr>
        <w:t>04 votos favoráveis</w:t>
      </w:r>
      <w:r>
        <w:rPr>
          <w:rFonts w:ascii="Times New Roman" w:hAnsi="Times New Roman"/>
          <w:sz w:val="22"/>
          <w:szCs w:val="22"/>
          <w:lang w:eastAsia="pt-BR"/>
        </w:rPr>
        <w:t xml:space="preserve"> dos conselheiros (as) Nubia Margot Menezes Jardim, </w:t>
      </w:r>
      <w:proofErr w:type="spellStart"/>
      <w:r>
        <w:rPr>
          <w:rFonts w:ascii="Times New Roman" w:hAnsi="Times New Roman"/>
          <w:sz w:val="22"/>
          <w:szCs w:val="22"/>
          <w:lang w:eastAsia="pt-BR"/>
        </w:rPr>
        <w:t>Orildes</w:t>
      </w:r>
      <w:proofErr w:type="spellEnd"/>
      <w:r>
        <w:rPr>
          <w:rFonts w:ascii="Times New Roman" w:hAnsi="Times New Roman"/>
          <w:sz w:val="22"/>
          <w:szCs w:val="22"/>
          <w:lang w:eastAsia="pt-BR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  <w:lang w:eastAsia="pt-BR"/>
        </w:rPr>
        <w:t>Tres</w:t>
      </w:r>
      <w:proofErr w:type="spellEnd"/>
      <w:r>
        <w:rPr>
          <w:rFonts w:ascii="Times New Roman" w:hAnsi="Times New Roman"/>
          <w:sz w:val="22"/>
          <w:szCs w:val="22"/>
          <w:lang w:eastAsia="pt-BR"/>
        </w:rPr>
        <w:t xml:space="preserve">, </w:t>
      </w:r>
      <w:proofErr w:type="spellStart"/>
      <w:r>
        <w:rPr>
          <w:rFonts w:ascii="Times New Roman" w:hAnsi="Times New Roman"/>
          <w:sz w:val="22"/>
          <w:szCs w:val="22"/>
          <w:lang w:eastAsia="pt-BR"/>
        </w:rPr>
        <w:t>Lidia</w:t>
      </w:r>
      <w:proofErr w:type="spellEnd"/>
      <w:r>
        <w:rPr>
          <w:rFonts w:ascii="Times New Roman" w:hAnsi="Times New Roman"/>
          <w:sz w:val="22"/>
          <w:szCs w:val="22"/>
          <w:lang w:eastAsia="pt-BR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  <w:lang w:eastAsia="pt-BR"/>
        </w:rPr>
        <w:t>Glacir</w:t>
      </w:r>
      <w:proofErr w:type="spellEnd"/>
      <w:r>
        <w:rPr>
          <w:rFonts w:ascii="Times New Roman" w:hAnsi="Times New Roman"/>
          <w:sz w:val="22"/>
          <w:szCs w:val="22"/>
          <w:lang w:eastAsia="pt-BR"/>
        </w:rPr>
        <w:t xml:space="preserve"> Gomes Rodrigues, Carlos Eduardo </w:t>
      </w:r>
      <w:proofErr w:type="spellStart"/>
      <w:r>
        <w:rPr>
          <w:rFonts w:ascii="Times New Roman" w:hAnsi="Times New Roman"/>
          <w:sz w:val="22"/>
          <w:szCs w:val="22"/>
          <w:lang w:eastAsia="pt-BR"/>
        </w:rPr>
        <w:t>Iponema</w:t>
      </w:r>
      <w:proofErr w:type="spellEnd"/>
      <w:r>
        <w:rPr>
          <w:rFonts w:ascii="Times New Roman" w:hAnsi="Times New Roman"/>
          <w:sz w:val="22"/>
          <w:szCs w:val="22"/>
          <w:lang w:eastAsia="pt-BR"/>
        </w:rPr>
        <w:t xml:space="preserve"> Costa. </w:t>
      </w:r>
    </w:p>
    <w:p w:rsidR="00E84E4B" w:rsidRDefault="00E84E4B">
      <w:pPr>
        <w:spacing w:before="120" w:after="120"/>
        <w:jc w:val="both"/>
        <w:rPr>
          <w:rFonts w:ascii="Times New Roman" w:hAnsi="Times New Roman"/>
          <w:sz w:val="22"/>
          <w:szCs w:val="22"/>
        </w:rPr>
      </w:pPr>
    </w:p>
    <w:p w:rsidR="00E84E4B" w:rsidRDefault="00E84E4B">
      <w:pPr>
        <w:pStyle w:val="PargrafodaLista"/>
        <w:tabs>
          <w:tab w:val="left" w:pos="284"/>
        </w:tabs>
        <w:spacing w:before="120" w:after="120"/>
        <w:ind w:left="284"/>
        <w:jc w:val="both"/>
      </w:pPr>
    </w:p>
    <w:p w:rsidR="00E84E4B" w:rsidRDefault="00E074A2">
      <w:pPr>
        <w:tabs>
          <w:tab w:val="left" w:pos="1418"/>
        </w:tabs>
        <w:spacing w:before="120" w:after="120"/>
        <w:jc w:val="center"/>
        <w:rPr>
          <w:rFonts w:ascii="Times New Roman" w:eastAsia="Calibri" w:hAnsi="Times New Roman"/>
          <w:sz w:val="22"/>
          <w:szCs w:val="22"/>
        </w:rPr>
      </w:pPr>
      <w:r>
        <w:rPr>
          <w:rFonts w:ascii="Times New Roman" w:eastAsia="Calibri" w:hAnsi="Times New Roman"/>
          <w:sz w:val="22"/>
          <w:szCs w:val="22"/>
        </w:rPr>
        <w:t>Porto Alegre- RS, 17 de agosto de 2021.</w:t>
      </w:r>
    </w:p>
    <w:p w:rsidR="00E84E4B" w:rsidRDefault="00E84E4B">
      <w:pPr>
        <w:tabs>
          <w:tab w:val="left" w:pos="1418"/>
        </w:tabs>
        <w:spacing w:before="120" w:after="120"/>
        <w:jc w:val="center"/>
        <w:rPr>
          <w:rFonts w:ascii="Times New Roman" w:eastAsia="Calibri" w:hAnsi="Times New Roman"/>
          <w:sz w:val="22"/>
          <w:szCs w:val="22"/>
        </w:rPr>
      </w:pPr>
    </w:p>
    <w:p w:rsidR="00E84E4B" w:rsidRDefault="00E84E4B">
      <w:pPr>
        <w:tabs>
          <w:tab w:val="left" w:pos="1418"/>
        </w:tabs>
        <w:spacing w:before="120" w:after="120"/>
        <w:jc w:val="center"/>
      </w:pPr>
    </w:p>
    <w:p w:rsidR="00E84E4B" w:rsidRDefault="00E074A2">
      <w:pPr>
        <w:tabs>
          <w:tab w:val="left" w:pos="1418"/>
        </w:tabs>
        <w:spacing w:line="276" w:lineRule="auto"/>
        <w:jc w:val="center"/>
        <w:rPr>
          <w:rFonts w:ascii="Times New Roman" w:hAnsi="Times New Roman"/>
          <w:b/>
          <w:sz w:val="22"/>
          <w:szCs w:val="22"/>
        </w:rPr>
      </w:pPr>
      <w:proofErr w:type="spellStart"/>
      <w:r>
        <w:rPr>
          <w:rFonts w:ascii="Times New Roman" w:hAnsi="Times New Roman"/>
          <w:b/>
          <w:sz w:val="22"/>
          <w:szCs w:val="22"/>
        </w:rPr>
        <w:t>Orildes</w:t>
      </w:r>
      <w:proofErr w:type="spellEnd"/>
      <w:r>
        <w:rPr>
          <w:rFonts w:ascii="Times New Roman" w:hAnsi="Times New Roman"/>
          <w:b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b/>
          <w:sz w:val="22"/>
          <w:szCs w:val="22"/>
        </w:rPr>
        <w:t>Tres</w:t>
      </w:r>
      <w:proofErr w:type="spellEnd"/>
    </w:p>
    <w:p w:rsidR="00E84E4B" w:rsidRDefault="00E074A2">
      <w:pPr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Coordenadora Adjunta d</w:t>
      </w:r>
      <w:r>
        <w:rPr>
          <w:rFonts w:ascii="Calibri" w:hAnsi="Calibri"/>
          <w:sz w:val="22"/>
          <w:szCs w:val="22"/>
        </w:rPr>
        <w:t>a CPFI do CAU/RS</w:t>
      </w:r>
    </w:p>
    <w:p w:rsidR="00E84E4B" w:rsidRDefault="00E84E4B">
      <w:pPr>
        <w:tabs>
          <w:tab w:val="left" w:pos="1418"/>
        </w:tabs>
        <w:spacing w:line="360" w:lineRule="auto"/>
        <w:rPr>
          <w:rFonts w:ascii="Times New Roman" w:hAnsi="Times New Roman"/>
          <w:sz w:val="22"/>
          <w:szCs w:val="22"/>
        </w:rPr>
      </w:pPr>
    </w:p>
    <w:sectPr w:rsidR="00E84E4B">
      <w:headerReference w:type="default" r:id="rId8"/>
      <w:footerReference w:type="default" r:id="rId9"/>
      <w:pgSz w:w="11900" w:h="16840"/>
      <w:pgMar w:top="1985" w:right="1412" w:bottom="1418" w:left="1701" w:header="1327" w:footer="58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E074A2">
      <w:r>
        <w:separator/>
      </w:r>
    </w:p>
  </w:endnote>
  <w:endnote w:type="continuationSeparator" w:id="0">
    <w:p w:rsidR="00000000" w:rsidRDefault="00E074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1BA3" w:rsidRDefault="00E074A2">
    <w:pPr>
      <w:pStyle w:val="Rodap"/>
      <w:spacing w:after="100" w:line="276" w:lineRule="auto"/>
      <w:ind w:left="-1559" w:right="-1128"/>
      <w:jc w:val="center"/>
      <w:rPr>
        <w:rFonts w:ascii="Arial" w:hAnsi="Arial" w:cs="Arial"/>
        <w:b/>
        <w:color w:val="2C778C"/>
      </w:rPr>
    </w:pPr>
    <w:r>
      <w:rPr>
        <w:rFonts w:ascii="Arial" w:hAnsi="Arial" w:cs="Arial"/>
        <w:b/>
        <w:color w:val="2C778C"/>
      </w:rPr>
      <w:t>_____________________________________________________________________________________</w:t>
    </w:r>
  </w:p>
  <w:p w:rsidR="00651BA3" w:rsidRDefault="00E074A2">
    <w:pPr>
      <w:pStyle w:val="Rodap"/>
      <w:ind w:left="-709" w:right="-285"/>
      <w:jc w:val="center"/>
    </w:pPr>
    <w:r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>
      <w:rPr>
        <w:rFonts w:ascii="DaxCondensed" w:hAnsi="DaxCondensed"/>
        <w:sz w:val="18"/>
        <w:szCs w:val="18"/>
      </w:rPr>
      <w:t xml:space="preserve"> </w:t>
    </w:r>
    <w:r>
      <w:rPr>
        <w:rFonts w:ascii="DaxCondensed" w:hAnsi="DaxCondensed" w:cs="Arial"/>
        <w:color w:val="2C778C"/>
        <w:sz w:val="18"/>
        <w:szCs w:val="18"/>
      </w:rPr>
      <w:t xml:space="preserve">90430-090 | Telefone: (51) 3094.9800 | </w:t>
    </w:r>
    <w:proofErr w:type="gramStart"/>
    <w:r>
      <w:rPr>
        <w:rFonts w:ascii="DaxCondensed" w:hAnsi="DaxCondensed" w:cs="Arial"/>
        <w:color w:val="2C778C"/>
        <w:sz w:val="18"/>
        <w:szCs w:val="18"/>
      </w:rPr>
      <w:t>www.caurs.gov.br</w:t>
    </w:r>
    <w:proofErr w:type="gramEnd"/>
  </w:p>
  <w:p w:rsidR="00651BA3" w:rsidRDefault="00E074A2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E074A2">
      <w:r>
        <w:rPr>
          <w:color w:val="000000"/>
        </w:rPr>
        <w:separator/>
      </w:r>
    </w:p>
  </w:footnote>
  <w:footnote w:type="continuationSeparator" w:id="0">
    <w:p w:rsidR="00000000" w:rsidRDefault="00E074A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1BA3" w:rsidRDefault="00E074A2">
    <w:pPr>
      <w:pStyle w:val="Cabealho"/>
      <w:ind w:left="587"/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-1010924</wp:posOffset>
          </wp:positionH>
          <wp:positionV relativeFrom="paragraph">
            <wp:posOffset>-845820</wp:posOffset>
          </wp:positionV>
          <wp:extent cx="7569832" cy="974722"/>
          <wp:effectExtent l="0" t="0" r="0" b="0"/>
          <wp:wrapNone/>
          <wp:docPr id="1" name="Imagem 24" descr="CAU-RS-timbrado-wor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69832" cy="974722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0D7E83"/>
    <w:multiLevelType w:val="multilevel"/>
    <w:tmpl w:val="622CA908"/>
    <w:lvl w:ilvl="0">
      <w:start w:val="1"/>
      <w:numFmt w:val="decimal"/>
      <w:lvlText w:val="%1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C72AA0"/>
    <w:multiLevelType w:val="multilevel"/>
    <w:tmpl w:val="C88E6DF8"/>
    <w:lvl w:ilvl="0">
      <w:start w:val="1"/>
      <w:numFmt w:val="lowerLetter"/>
      <w:lvlText w:val="%1."/>
      <w:lvlJc w:val="left"/>
      <w:pPr>
        <w:ind w:left="1004" w:hanging="720"/>
      </w:pPr>
      <w:rPr>
        <w:rFonts w:ascii="Times New Roman" w:eastAsia="Cambria" w:hAnsi="Times New Roman" w:cs="Times New Roman"/>
        <w:b w:val="0"/>
        <w:u w:val="none"/>
      </w:r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attachedTemplate r:id="rId1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E84E4B"/>
    <w:rsid w:val="00E074A2"/>
    <w:rsid w:val="00E84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pt-BR" w:eastAsia="pt-BR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</w:pPr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</w:style>
  <w:style w:type="paragraph" w:styleId="NormalWeb">
    <w:name w:val="Normal (Web)"/>
    <w:basedOn w:val="Normal"/>
    <w:rPr>
      <w:rFonts w:ascii="Times" w:hAnsi="Times"/>
      <w:sz w:val="20"/>
      <w:szCs w:val="20"/>
    </w:rPr>
  </w:style>
  <w:style w:type="character" w:styleId="Forte">
    <w:name w:val="Strong"/>
    <w:rPr>
      <w:b/>
    </w:rPr>
  </w:style>
  <w:style w:type="character" w:customStyle="1" w:styleId="apple-converted-space">
    <w:name w:val="apple-converted-space"/>
    <w:basedOn w:val="Fontepargpadro"/>
  </w:style>
  <w:style w:type="character" w:styleId="nfase">
    <w:name w:val="Emphasis"/>
    <w:rPr>
      <w:i/>
    </w:rPr>
  </w:style>
  <w:style w:type="character" w:styleId="Hyperlink">
    <w:name w:val="Hyperlink"/>
    <w:rPr>
      <w:color w:val="0000FF"/>
      <w:u w:val="single"/>
    </w:rPr>
  </w:style>
  <w:style w:type="paragraph" w:customStyle="1" w:styleId="Default">
    <w:name w:val="Default"/>
    <w:pPr>
      <w:suppressAutoHyphens/>
      <w:autoSpaceDE w:val="0"/>
    </w:pPr>
    <w:rPr>
      <w:rFonts w:ascii="Calibri" w:hAnsi="Calibri" w:cs="Calibri"/>
      <w:color w:val="000000"/>
      <w:sz w:val="24"/>
      <w:szCs w:val="24"/>
    </w:rPr>
  </w:style>
  <w:style w:type="paragraph" w:styleId="PargrafodaLista">
    <w:name w:val="List Paragraph"/>
    <w:basedOn w:val="Normal"/>
    <w:pPr>
      <w:ind w:left="708"/>
    </w:pPr>
  </w:style>
  <w:style w:type="paragraph" w:styleId="Textodenotaderodap">
    <w:name w:val="footnote text"/>
    <w:basedOn w:val="Normal"/>
    <w:rPr>
      <w:sz w:val="20"/>
      <w:szCs w:val="20"/>
    </w:rPr>
  </w:style>
  <w:style w:type="character" w:customStyle="1" w:styleId="TextodenotaderodapChar">
    <w:name w:val="Texto de nota de rodapé Char"/>
    <w:rPr>
      <w:lang w:eastAsia="en-US"/>
    </w:rPr>
  </w:style>
  <w:style w:type="character" w:styleId="Refdenotaderodap">
    <w:name w:val="footnote reference"/>
    <w:rPr>
      <w:position w:val="0"/>
      <w:vertAlign w:val="superscript"/>
    </w:rPr>
  </w:style>
  <w:style w:type="character" w:styleId="TextodoEspaoReservado">
    <w:name w:val="Placeholder Text"/>
    <w:basedOn w:val="Fontepargpadro"/>
    <w:rPr>
      <w:color w:val="808080"/>
    </w:rPr>
  </w:style>
  <w:style w:type="paragraph" w:styleId="Textodebalo">
    <w:name w:val="Balloon Text"/>
    <w:basedOn w:val="Normal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pt-BR" w:eastAsia="pt-BR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</w:pPr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</w:style>
  <w:style w:type="paragraph" w:styleId="NormalWeb">
    <w:name w:val="Normal (Web)"/>
    <w:basedOn w:val="Normal"/>
    <w:rPr>
      <w:rFonts w:ascii="Times" w:hAnsi="Times"/>
      <w:sz w:val="20"/>
      <w:szCs w:val="20"/>
    </w:rPr>
  </w:style>
  <w:style w:type="character" w:styleId="Forte">
    <w:name w:val="Strong"/>
    <w:rPr>
      <w:b/>
    </w:rPr>
  </w:style>
  <w:style w:type="character" w:customStyle="1" w:styleId="apple-converted-space">
    <w:name w:val="apple-converted-space"/>
    <w:basedOn w:val="Fontepargpadro"/>
  </w:style>
  <w:style w:type="character" w:styleId="nfase">
    <w:name w:val="Emphasis"/>
    <w:rPr>
      <w:i/>
    </w:rPr>
  </w:style>
  <w:style w:type="character" w:styleId="Hyperlink">
    <w:name w:val="Hyperlink"/>
    <w:rPr>
      <w:color w:val="0000FF"/>
      <w:u w:val="single"/>
    </w:rPr>
  </w:style>
  <w:style w:type="paragraph" w:customStyle="1" w:styleId="Default">
    <w:name w:val="Default"/>
    <w:pPr>
      <w:suppressAutoHyphens/>
      <w:autoSpaceDE w:val="0"/>
    </w:pPr>
    <w:rPr>
      <w:rFonts w:ascii="Calibri" w:hAnsi="Calibri" w:cs="Calibri"/>
      <w:color w:val="000000"/>
      <w:sz w:val="24"/>
      <w:szCs w:val="24"/>
    </w:rPr>
  </w:style>
  <w:style w:type="paragraph" w:styleId="PargrafodaLista">
    <w:name w:val="List Paragraph"/>
    <w:basedOn w:val="Normal"/>
    <w:pPr>
      <w:ind w:left="708"/>
    </w:pPr>
  </w:style>
  <w:style w:type="paragraph" w:styleId="Textodenotaderodap">
    <w:name w:val="footnote text"/>
    <w:basedOn w:val="Normal"/>
    <w:rPr>
      <w:sz w:val="20"/>
      <w:szCs w:val="20"/>
    </w:rPr>
  </w:style>
  <w:style w:type="character" w:customStyle="1" w:styleId="TextodenotaderodapChar">
    <w:name w:val="Texto de nota de rodapé Char"/>
    <w:rPr>
      <w:lang w:eastAsia="en-US"/>
    </w:rPr>
  </w:style>
  <w:style w:type="character" w:styleId="Refdenotaderodap">
    <w:name w:val="footnote reference"/>
    <w:rPr>
      <w:position w:val="0"/>
      <w:vertAlign w:val="superscript"/>
    </w:rPr>
  </w:style>
  <w:style w:type="character" w:styleId="TextodoEspaoReservado">
    <w:name w:val="Placeholder Text"/>
    <w:basedOn w:val="Fontepargpadro"/>
    <w:rPr>
      <w:color w:val="808080"/>
    </w:rPr>
  </w:style>
  <w:style w:type="paragraph" w:styleId="Textodebalo">
    <w:name w:val="Balloon Text"/>
    <w:basedOn w:val="Normal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VO%20Modelo%20-%20Anuidade%20-%20Indeferimento%20da%20impugna&#231;&#227;o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NOVO%20Modelo%20-%20Anuidade%20-%20Indeferimento%20da%20impugnação</Template>
  <TotalTime>0</TotalTime>
  <Pages>2</Pages>
  <Words>590</Words>
  <Characters>3186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115/2016</dc:subject>
  <dc:creator>Margit Schmidt Bortolini</dc:creator>
  <cp:lastModifiedBy>William Marchetti Gritti</cp:lastModifiedBy>
  <cp:revision>2</cp:revision>
  <cp:lastPrinted>2020-01-27T14:24:00Z</cp:lastPrinted>
  <dcterms:created xsi:type="dcterms:W3CDTF">2021-09-03T18:21:00Z</dcterms:created>
  <dcterms:modified xsi:type="dcterms:W3CDTF">2021-09-03T18:21:00Z</dcterms:modified>
</cp:coreProperties>
</file>