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CellMar>
          <w:top w:w="14" w:type="dxa"/>
          <w:left w:w="0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3C33AB">
        <w:trPr>
          <w:trHeight w:val="250"/>
          <w:jc w:val="center"/>
        </w:trPr>
        <w:tc>
          <w:tcPr>
            <w:tcW w:w="9356" w:type="dxa"/>
            <w:gridSpan w:val="4"/>
            <w:vAlign w:val="center"/>
          </w:tcPr>
          <w:p w:rsidR="003C33AB" w:rsidRDefault="00A5633D">
            <w:pPr>
              <w:pStyle w:val="LO-Normal"/>
              <w:keepNext/>
              <w:spacing w:before="60" w:after="60"/>
              <w:jc w:val="center"/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>SÚMULA DA 13</w:t>
            </w:r>
            <w:r w:rsidR="0014123D"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>6</w:t>
            </w:r>
            <w:r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>ª REUNIÃO ORDINÁRIA D</w:t>
            </w: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CEAU-CAU/RS</w:t>
            </w:r>
          </w:p>
          <w:p w:rsidR="003C33AB" w:rsidRDefault="003C33AB">
            <w:pPr>
              <w:pStyle w:val="LO-Normal"/>
              <w:keepNext/>
              <w:spacing w:before="60" w:after="60"/>
              <w:jc w:val="center"/>
              <w:rPr>
                <w:rFonts w:ascii="Calibri" w:hAnsi="Calibri" w:cs="Calibri"/>
                <w:bCs/>
                <w:smallCaps/>
                <w:kern w:val="2"/>
                <w:sz w:val="21"/>
                <w:szCs w:val="21"/>
              </w:rPr>
            </w:pPr>
          </w:p>
        </w:tc>
      </w:tr>
      <w:tr w:rsidR="003C33AB"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28 de maio de 2020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Das 14h30 às 16h</w:t>
            </w:r>
          </w:p>
        </w:tc>
      </w:tr>
      <w:tr w:rsidR="003C33AB"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 w:rsidR="003C33AB" w:rsidRDefault="00A5633D">
            <w:pPr>
              <w:pStyle w:val="LO-Normal"/>
              <w:spacing w:before="40" w:after="40"/>
            </w:pPr>
            <w:r>
              <w:rPr>
                <w:rFonts w:ascii="Calibri" w:eastAsia="MS Mincho" w:hAnsi="Calibri" w:cs="Calibri"/>
                <w:sz w:val="21"/>
                <w:szCs w:val="21"/>
              </w:rPr>
              <w:t>Reunião remota, realizada por meio de vídeo-conferência, conforme Ad Referendum 006/2020.</w:t>
            </w:r>
          </w:p>
        </w:tc>
      </w:tr>
    </w:tbl>
    <w:p w:rsidR="003C33AB" w:rsidRDefault="003C33AB">
      <w:pPr>
        <w:pStyle w:val="LO-Normal"/>
        <w:rPr>
          <w:rFonts w:ascii="Calibri" w:eastAsia="MS Mincho" w:hAnsi="Calibri" w:cs="Calibri"/>
          <w:smallCaps/>
          <w:sz w:val="21"/>
          <w:szCs w:val="21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3397"/>
        <w:gridCol w:w="3832"/>
      </w:tblGrid>
      <w:tr w:rsidR="003C33AB">
        <w:trPr>
          <w:trHeight w:val="488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Tiago Holzmann da silva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Presidente do CAU/RS</w:t>
            </w:r>
          </w:p>
        </w:tc>
      </w:tr>
      <w:tr w:rsidR="003C33AB">
        <w:trPr>
          <w:trHeight w:val="397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</w:pPr>
            <w:r>
              <w:rPr>
                <w:rFonts w:ascii="Calibri" w:hAnsi="Calibri" w:cs="Calibri"/>
                <w:caps/>
                <w:sz w:val="21"/>
                <w:szCs w:val="21"/>
              </w:rPr>
              <w:t>G</w:t>
            </w:r>
            <w:r>
              <w:rPr>
                <w:rFonts w:ascii="Calibri" w:hAnsi="Calibri" w:cs="Calibri"/>
                <w:sz w:val="21"/>
                <w:szCs w:val="21"/>
              </w:rPr>
              <w:t>islaine Saibro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Coordenadora do Colegiado e presidente da AAI Brasil/RS</w:t>
            </w:r>
          </w:p>
        </w:tc>
      </w:tr>
      <w:tr w:rsidR="003C33AB">
        <w:trPr>
          <w:trHeight w:val="397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Evandro Cardoso Medeiros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Presidente do SAERGS</w:t>
            </w:r>
          </w:p>
        </w:tc>
      </w:tr>
      <w:tr w:rsidR="003C33AB">
        <w:trPr>
          <w:trHeight w:val="418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Rafael Passos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Presidente do IAB/RS</w:t>
            </w:r>
          </w:p>
        </w:tc>
      </w:tr>
      <w:tr w:rsidR="003C33AB">
        <w:trPr>
          <w:trHeight w:val="42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Cláudio Fischer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Coordenador da CEF-CAU/RS</w:t>
            </w:r>
          </w:p>
        </w:tc>
      </w:tr>
      <w:tr w:rsidR="003C33AB">
        <w:trPr>
          <w:trHeight w:val="469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Oritz Adriano Adams de Campos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Coordenador da CEP-CAU/RS</w:t>
            </w:r>
          </w:p>
        </w:tc>
      </w:tr>
      <w:tr w:rsidR="003C33AB">
        <w:trPr>
          <w:trHeight w:val="400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Bárbara Finger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Diretora-geral da FeNEA</w:t>
            </w:r>
          </w:p>
        </w:tc>
      </w:tr>
      <w:tr w:rsidR="003C33AB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Felipe Buller Bertuzzi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Representante da AEAPF – Fórum das Entidades</w:t>
            </w:r>
          </w:p>
        </w:tc>
      </w:tr>
      <w:tr w:rsidR="003C33AB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Andréa Hamilton Ilha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Presidente do IAB/RS Núcleo Fronteira – Fórum das Entidades</w:t>
            </w:r>
          </w:p>
        </w:tc>
      </w:tr>
      <w:tr w:rsidR="003C33AB">
        <w:trPr>
          <w:trHeight w:val="400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ASSESSORIA E SECRETARIA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Fausto Loureiro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Chefe de Gabinete</w:t>
            </w:r>
          </w:p>
        </w:tc>
      </w:tr>
      <w:tr w:rsidR="003C33AB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3C33AB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Carla Lago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Secretária Executiva</w:t>
            </w:r>
          </w:p>
        </w:tc>
      </w:tr>
    </w:tbl>
    <w:p w:rsidR="003C33AB" w:rsidRDefault="003C33AB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27"/>
        <w:gridCol w:w="7234"/>
      </w:tblGrid>
      <w:tr w:rsidR="003C33AB">
        <w:trPr>
          <w:cantSplit/>
          <w:trHeight w:hRule="exact" w:val="284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PargrafodaLista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Verificação de quórum</w:t>
            </w:r>
          </w:p>
        </w:tc>
      </w:tr>
      <w:tr w:rsidR="003C33AB">
        <w:trPr>
          <w:trHeight w:val="56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C33AB" w:rsidRDefault="00A5633D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Quorum completo.</w:t>
            </w:r>
          </w:p>
        </w:tc>
      </w:tr>
    </w:tbl>
    <w:p w:rsidR="003C33AB" w:rsidRDefault="00A5633D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3C33AB">
        <w:trPr>
          <w:trHeight w:val="269"/>
        </w:trPr>
        <w:tc>
          <w:tcPr>
            <w:tcW w:w="9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PargrafodaLista"/>
              <w:numPr>
                <w:ilvl w:val="0"/>
                <w:numId w:val="1"/>
              </w:numPr>
              <w:tabs>
                <w:tab w:val="left" w:pos="1440"/>
              </w:tabs>
              <w:ind w:left="1440"/>
              <w:jc w:val="both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Extrapauta – não há</w:t>
            </w:r>
          </w:p>
        </w:tc>
      </w:tr>
    </w:tbl>
    <w:p w:rsidR="003C33AB" w:rsidRDefault="003C33AB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C33AB"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C33AB" w:rsidRDefault="00A5633D">
            <w:pPr>
              <w:pStyle w:val="PargrafodaLista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Ordem do dia:</w:t>
            </w:r>
          </w:p>
        </w:tc>
      </w:tr>
    </w:tbl>
    <w:p w:rsidR="003C33AB" w:rsidRDefault="003C33AB">
      <w:pPr>
        <w:pStyle w:val="PargrafodaLista"/>
        <w:ind w:left="633"/>
        <w:jc w:val="both"/>
        <w:rPr>
          <w:rFonts w:cs="Calibri"/>
          <w:caps/>
          <w:spacing w:val="4"/>
        </w:rPr>
      </w:pP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27"/>
        <w:gridCol w:w="7234"/>
      </w:tblGrid>
      <w:tr w:rsidR="003C33AB">
        <w:trPr>
          <w:trHeight w:hRule="exact" w:val="622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3.1 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mpacto da Pandemia no exercício Profissional e no ensino de Arquitetura e Urbanismo</w:t>
            </w:r>
          </w:p>
        </w:tc>
      </w:tr>
      <w:tr w:rsidR="003C33AB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C33AB" w:rsidRDefault="00A5633D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Assessoria</w:t>
            </w:r>
          </w:p>
        </w:tc>
      </w:tr>
      <w:tr w:rsidR="003C33AB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C33AB" w:rsidRDefault="00A5633D">
            <w:pPr>
              <w:pStyle w:val="LO-Normal"/>
              <w:tabs>
                <w:tab w:val="left" w:pos="600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Os presentes relataram sobre como seus associados estão exercendo a atividade profissional neste período de Pandemia. Também se relatou episódios relacionados com o impacto da COVID-19 no ensino de Arquitetura e Urbanismo</w:t>
            </w:r>
          </w:p>
        </w:tc>
      </w:tr>
      <w:tr w:rsidR="003C33AB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C33AB" w:rsidRDefault="00A5633D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Coletar mais informações e relatar aos integrantes do colegiado</w:t>
            </w:r>
          </w:p>
        </w:tc>
      </w:tr>
      <w:tr w:rsidR="003C33AB">
        <w:trPr>
          <w:trHeight w:val="457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Fausto Leiria.</w:t>
            </w:r>
          </w:p>
        </w:tc>
      </w:tr>
    </w:tbl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4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C33AB">
        <w:trPr>
          <w:trHeight w:val="339"/>
        </w:trPr>
        <w:tc>
          <w:tcPr>
            <w:tcW w:w="94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C33AB" w:rsidRDefault="00A5633D">
            <w:pPr>
              <w:pStyle w:val="PargrafodaLista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Comunicações: não houve comunicações</w:t>
            </w:r>
          </w:p>
        </w:tc>
      </w:tr>
    </w:tbl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3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C33AB">
        <w:tc>
          <w:tcPr>
            <w:tcW w:w="9356" w:type="dxa"/>
            <w:shd w:val="clear" w:color="auto" w:fill="F2F2F2"/>
          </w:tcPr>
          <w:p w:rsidR="003C33AB" w:rsidRDefault="00A5633D">
            <w:pPr>
              <w:pStyle w:val="PargrafodaLista"/>
              <w:ind w:left="144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5. Leitura, discussão e aprovação da súmula</w:t>
            </w:r>
          </w:p>
        </w:tc>
      </w:tr>
      <w:tr w:rsidR="003C33AB">
        <w:trPr>
          <w:trHeight w:val="400"/>
        </w:trPr>
        <w:tc>
          <w:tcPr>
            <w:tcW w:w="9356" w:type="dxa"/>
          </w:tcPr>
          <w:p w:rsidR="003C33AB" w:rsidRDefault="00A5633D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 súmula será disponibilizada para assinatura digital.</w:t>
            </w:r>
          </w:p>
          <w:p w:rsidR="003C33AB" w:rsidRDefault="003C33A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3C33AB" w:rsidRDefault="003C33AB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4669" w:type="dxa"/>
        <w:jc w:val="center"/>
        <w:tblLayout w:type="fixed"/>
        <w:tblLook w:val="0000" w:firstRow="0" w:lastRow="0" w:firstColumn="0" w:lastColumn="0" w:noHBand="0" w:noVBand="0"/>
      </w:tblPr>
      <w:tblGrid>
        <w:gridCol w:w="4669"/>
      </w:tblGrid>
      <w:tr w:rsidR="003C33AB">
        <w:trPr>
          <w:jc w:val="center"/>
        </w:trPr>
        <w:tc>
          <w:tcPr>
            <w:tcW w:w="4669" w:type="dxa"/>
          </w:tcPr>
          <w:p w:rsidR="003C33AB" w:rsidRDefault="00A5633D">
            <w:pPr>
              <w:pStyle w:val="LO-Normal"/>
              <w:jc w:val="center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FAUSTO LEIRIA LOUREIRO,</w:t>
            </w:r>
          </w:p>
          <w:p w:rsidR="003C33AB" w:rsidRDefault="00A5633D">
            <w:pPr>
              <w:pStyle w:val="LO-Normal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CHEFE DE GABINETE,</w:t>
            </w:r>
          </w:p>
          <w:p w:rsidR="003C33AB" w:rsidRDefault="00A5633D">
            <w:pPr>
              <w:pStyle w:val="LO-Normal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ASSESSOR DO CEAU.</w:t>
            </w:r>
          </w:p>
        </w:tc>
      </w:tr>
    </w:tbl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3C33A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3C33AB" w:rsidRDefault="00A5633D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ascii="Calibri" w:hAnsi="Calibri" w:cs="Calibri"/>
          <w:caps/>
          <w:spacing w:val="4"/>
          <w:sz w:val="21"/>
          <w:szCs w:val="21"/>
        </w:rPr>
        <w:t>* esta ata foi elaborada a posteriori e excepcionalmente assinada apenas pelo assessor, dadas as condições de isolamento social advindas da pandemia</w:t>
      </w:r>
    </w:p>
    <w:sectPr w:rsidR="003C33A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1418" w:left="1418" w:header="1418" w:footer="567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52" w:rsidRDefault="00561152">
      <w:pPr>
        <w:spacing w:after="0" w:line="240" w:lineRule="auto"/>
      </w:pPr>
      <w:r>
        <w:separator/>
      </w:r>
    </w:p>
  </w:endnote>
  <w:endnote w:type="continuationSeparator" w:id="0">
    <w:p w:rsidR="00561152" w:rsidRDefault="005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AB" w:rsidRDefault="00A5633D">
    <w:pPr>
      <w:pStyle w:val="LO-Normal"/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C33AB" w:rsidRDefault="003C33AB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C33AB" w:rsidRDefault="00A5633D">
    <w:pPr>
      <w:pStyle w:val="Rodap"/>
      <w:ind w:left="-567" w:right="-57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 w:rsidR="00F05D36">
      <w:rPr>
        <w:rFonts w:ascii="Calibri" w:hAnsi="Calibri"/>
        <w:noProof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</w:p>
  <w:p w:rsidR="003C33AB" w:rsidRDefault="00A5633D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AB" w:rsidRDefault="00A5633D">
    <w:pPr>
      <w:pStyle w:val="LO-Normal"/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C33AB" w:rsidRDefault="003C33AB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C33AB" w:rsidRDefault="00A5633D">
    <w:pPr>
      <w:pStyle w:val="Rodap"/>
      <w:ind w:left="-567" w:right="-7"/>
      <w:jc w:val="both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3C33AB" w:rsidRDefault="00A5633D">
    <w:pPr>
      <w:pStyle w:val="Rodap"/>
      <w:ind w:left="-567" w:right="-7"/>
      <w:jc w:val="both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52" w:rsidRDefault="00561152">
      <w:pPr>
        <w:spacing w:after="0" w:line="240" w:lineRule="auto"/>
      </w:pPr>
      <w:r>
        <w:separator/>
      </w:r>
    </w:p>
  </w:footnote>
  <w:footnote w:type="continuationSeparator" w:id="0">
    <w:p w:rsidR="00561152" w:rsidRDefault="0056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AB" w:rsidRDefault="00A5633D">
    <w:pPr>
      <w:pStyle w:val="Cabealho"/>
      <w:ind w:left="2694"/>
      <w:rPr>
        <w:rFonts w:ascii="Arial" w:hAnsi="Arial"/>
        <w:color w:val="296D7A"/>
        <w:sz w:val="22"/>
        <w:lang w:eastAsia="pt-BR"/>
      </w:rPr>
    </w:pPr>
    <w:r>
      <w:rPr>
        <w:noProof/>
        <w:lang w:eastAsia="pt-BR"/>
      </w:rPr>
      <w:drawing>
        <wp:anchor distT="0" distB="127000" distL="0" distR="0" simplePos="0" relativeHeight="3" behindDoc="0" locked="0" layoutInCell="0" allowOverlap="1" wp14:anchorId="3EEA9979" wp14:editId="490E858E">
          <wp:simplePos x="0" y="0"/>
          <wp:positionH relativeFrom="column">
            <wp:posOffset>-900430</wp:posOffset>
          </wp:positionH>
          <wp:positionV relativeFrom="paragraph">
            <wp:posOffset>-846455</wp:posOffset>
          </wp:positionV>
          <wp:extent cx="7556500" cy="94488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AB" w:rsidRDefault="00A5633D">
    <w:pPr>
      <w:pStyle w:val="Cabealho"/>
      <w:rPr>
        <w:rFonts w:ascii="DaxCondensed" w:hAnsi="DaxCondensed" w:cs="Arial"/>
        <w:b/>
        <w:color w:val="2C778C"/>
        <w:sz w:val="20"/>
        <w:szCs w:val="20"/>
        <w:lang w:eastAsia="pt-BR"/>
      </w:rPr>
    </w:pPr>
    <w:r>
      <w:rPr>
        <w:noProof/>
        <w:lang w:eastAsia="pt-BR"/>
      </w:rPr>
      <w:drawing>
        <wp:anchor distT="0" distB="127000" distL="0" distR="0" simplePos="0" relativeHeight="2" behindDoc="0" locked="0" layoutInCell="0" allowOverlap="1" wp14:anchorId="4D26872E" wp14:editId="5A1CCD72">
          <wp:simplePos x="0" y="0"/>
          <wp:positionH relativeFrom="column">
            <wp:posOffset>-900430</wp:posOffset>
          </wp:positionH>
          <wp:positionV relativeFrom="paragraph">
            <wp:posOffset>-846455</wp:posOffset>
          </wp:positionV>
          <wp:extent cx="7556500" cy="94488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CCB"/>
    <w:multiLevelType w:val="multilevel"/>
    <w:tmpl w:val="1F58FC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">
    <w:nsid w:val="6A3C4F0B"/>
    <w:multiLevelType w:val="multilevel"/>
    <w:tmpl w:val="2946F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6C434C"/>
    <w:multiLevelType w:val="multilevel"/>
    <w:tmpl w:val="0C5A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36"/>
    <w:rsid w:val="0014123D"/>
    <w:rsid w:val="003C33AB"/>
    <w:rsid w:val="00561152"/>
    <w:rsid w:val="00A5633D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6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  <w:qFormat/>
  </w:style>
  <w:style w:type="character" w:styleId="Nmerodelinha">
    <w:name w:val="line number"/>
    <w:basedOn w:val="Fontepargpadro"/>
    <w:qFormat/>
  </w:style>
  <w:style w:type="character" w:styleId="nfaseSutil">
    <w:name w:val="Subtle Emphasis"/>
    <w:qFormat/>
    <w:rPr>
      <w:i/>
      <w:iCs/>
      <w:color w:val="404040"/>
    </w:rPr>
  </w:style>
  <w:style w:type="character" w:customStyle="1" w:styleId="WWCharLFO1LVL2">
    <w:name w:val="WW_CharLFO1LVL2"/>
    <w:qFormat/>
    <w:rPr>
      <w:b/>
    </w:rPr>
  </w:style>
  <w:style w:type="character" w:customStyle="1" w:styleId="WWCharLFO2LVL2">
    <w:name w:val="WW_CharLFO2LVL2"/>
    <w:qFormat/>
    <w:rPr>
      <w:b/>
    </w:rPr>
  </w:style>
  <w:style w:type="character" w:customStyle="1" w:styleId="WWCharLFO4LVL1">
    <w:name w:val="WW_CharLFO4LVL1"/>
    <w:qFormat/>
    <w:rPr>
      <w:rFonts w:ascii="Symbol" w:eastAsia="Cambria" w:hAnsi="Symbol" w:cs="Calibri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eastAsia="Cambria" w:hAnsi="Symbol" w:cs="Calibri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eastAsia="Cambria" w:hAnsi="Symbol" w:cs="Calibri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2">
    <w:name w:val="WW_CharLFO7LVL2"/>
    <w:qFormat/>
    <w:rPr>
      <w:b/>
    </w:rPr>
  </w:style>
  <w:style w:type="character" w:customStyle="1" w:styleId="WWCharLFO8LVL2">
    <w:name w:val="WW_CharLFO8LVL2"/>
    <w:qFormat/>
    <w:rPr>
      <w:b/>
    </w:rPr>
  </w:style>
  <w:style w:type="character" w:customStyle="1" w:styleId="WWCharLFO11LVL1">
    <w:name w:val="WW_CharLFO11LVL1"/>
    <w:qFormat/>
    <w:rPr>
      <w:rFonts w:ascii="Symbol" w:eastAsia="Times New Roman" w:hAnsi="Symbol" w:cs="Calibri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2">
    <w:name w:val="WW_CharLFO12LVL2"/>
    <w:qFormat/>
    <w:rPr>
      <w:b/>
    </w:rPr>
  </w:style>
  <w:style w:type="character" w:customStyle="1" w:styleId="WWCharLFO13LVL1">
    <w:name w:val="WW_CharLFO13LVL1"/>
    <w:qFormat/>
    <w:rPr>
      <w:rFonts w:ascii="Symbol" w:eastAsia="Cambria" w:hAnsi="Symbol" w:cs="Calibri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3">
    <w:name w:val="WW_CharLFO14LVL3"/>
    <w:qFormat/>
    <w:rPr>
      <w:b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paragraph" w:customStyle="1" w:styleId="LO-Normal">
    <w:name w:val="LO-Normal"/>
    <w:qFormat/>
    <w:pPr>
      <w:suppressAutoHyphens/>
      <w:spacing w:line="240" w:lineRule="auto"/>
    </w:pPr>
    <w:rPr>
      <w:rFonts w:ascii="Cambria" w:eastAsia="Cambria" w:hAnsi="Cambria"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LO-Normal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after="0"/>
      <w:ind w:left="720"/>
      <w:contextualSpacing/>
    </w:pPr>
  </w:style>
  <w:style w:type="paragraph" w:styleId="Textodebalo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  <w:spacing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paragraph">
    <w:name w:val="paragraph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  <w:qFormat/>
  </w:style>
  <w:style w:type="character" w:styleId="Nmerodelinha">
    <w:name w:val="line number"/>
    <w:basedOn w:val="Fontepargpadro"/>
    <w:qFormat/>
  </w:style>
  <w:style w:type="character" w:styleId="nfaseSutil">
    <w:name w:val="Subtle Emphasis"/>
    <w:qFormat/>
    <w:rPr>
      <w:i/>
      <w:iCs/>
      <w:color w:val="404040"/>
    </w:rPr>
  </w:style>
  <w:style w:type="character" w:customStyle="1" w:styleId="WWCharLFO1LVL2">
    <w:name w:val="WW_CharLFO1LVL2"/>
    <w:qFormat/>
    <w:rPr>
      <w:b/>
    </w:rPr>
  </w:style>
  <w:style w:type="character" w:customStyle="1" w:styleId="WWCharLFO2LVL2">
    <w:name w:val="WW_CharLFO2LVL2"/>
    <w:qFormat/>
    <w:rPr>
      <w:b/>
    </w:rPr>
  </w:style>
  <w:style w:type="character" w:customStyle="1" w:styleId="WWCharLFO4LVL1">
    <w:name w:val="WW_CharLFO4LVL1"/>
    <w:qFormat/>
    <w:rPr>
      <w:rFonts w:ascii="Symbol" w:eastAsia="Cambria" w:hAnsi="Symbol" w:cs="Calibri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eastAsia="Cambria" w:hAnsi="Symbol" w:cs="Calibri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eastAsia="Cambria" w:hAnsi="Symbol" w:cs="Calibri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2">
    <w:name w:val="WW_CharLFO7LVL2"/>
    <w:qFormat/>
    <w:rPr>
      <w:b/>
    </w:rPr>
  </w:style>
  <w:style w:type="character" w:customStyle="1" w:styleId="WWCharLFO8LVL2">
    <w:name w:val="WW_CharLFO8LVL2"/>
    <w:qFormat/>
    <w:rPr>
      <w:b/>
    </w:rPr>
  </w:style>
  <w:style w:type="character" w:customStyle="1" w:styleId="WWCharLFO11LVL1">
    <w:name w:val="WW_CharLFO11LVL1"/>
    <w:qFormat/>
    <w:rPr>
      <w:rFonts w:ascii="Symbol" w:eastAsia="Times New Roman" w:hAnsi="Symbol" w:cs="Calibri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2">
    <w:name w:val="WW_CharLFO12LVL2"/>
    <w:qFormat/>
    <w:rPr>
      <w:b/>
    </w:rPr>
  </w:style>
  <w:style w:type="character" w:customStyle="1" w:styleId="WWCharLFO13LVL1">
    <w:name w:val="WW_CharLFO13LVL1"/>
    <w:qFormat/>
    <w:rPr>
      <w:rFonts w:ascii="Symbol" w:eastAsia="Cambria" w:hAnsi="Symbol" w:cs="Calibri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3">
    <w:name w:val="WW_CharLFO14LVL3"/>
    <w:qFormat/>
    <w:rPr>
      <w:b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paragraph" w:customStyle="1" w:styleId="LO-Normal">
    <w:name w:val="LO-Normal"/>
    <w:qFormat/>
    <w:pPr>
      <w:suppressAutoHyphens/>
      <w:spacing w:line="240" w:lineRule="auto"/>
    </w:pPr>
    <w:rPr>
      <w:rFonts w:ascii="Cambria" w:eastAsia="Cambria" w:hAnsi="Cambria"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LO-Normal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after="0"/>
      <w:ind w:left="720"/>
      <w:contextualSpacing/>
    </w:pPr>
  </w:style>
  <w:style w:type="paragraph" w:styleId="Textodebalo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  <w:spacing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paragraph">
    <w:name w:val="paragraph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.DELL-NOTE13\Downloads\CEAU-SUM-136-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CEAU-SUM-136-2021.dotx</Template>
  <TotalTime>0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2020-07-27T19:20:00Z</cp:lastPrinted>
  <dcterms:created xsi:type="dcterms:W3CDTF">2021-02-18T13:10:00Z</dcterms:created>
  <dcterms:modified xsi:type="dcterms:W3CDTF">2021-02-18T13:10:00Z</dcterms:modified>
  <dc:language>pt-BR</dc:language>
</cp:coreProperties>
</file>