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4701CC">
              <w:rPr>
                <w:rFonts w:ascii="Times New Roman" w:hAnsi="Times New Roman"/>
                <w:sz w:val="22"/>
                <w:szCs w:val="22"/>
              </w:rPr>
              <w:t>alancete Junho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701CC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4701CC">
        <w:rPr>
          <w:rFonts w:ascii="Times New Roman" w:hAnsi="Times New Roman"/>
          <w:sz w:val="22"/>
          <w:szCs w:val="22"/>
        </w:rPr>
        <w:t>06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4701CC">
        <w:rPr>
          <w:rFonts w:ascii="Times New Roman" w:hAnsi="Times New Roman"/>
          <w:sz w:val="22"/>
          <w:szCs w:val="22"/>
        </w:rPr>
        <w:t>pelo Gerente Financeiro Substituto, Pedro Reusch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de junho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bookmarkStart w:id="0" w:name="_GoBack"/>
      <w:bookmarkEnd w:id="0"/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03E6-E673-435D-8761-7BC6A903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21</cp:revision>
  <cp:lastPrinted>2020-02-04T18:16:00Z</cp:lastPrinted>
  <dcterms:created xsi:type="dcterms:W3CDTF">2019-02-19T18:15:00Z</dcterms:created>
  <dcterms:modified xsi:type="dcterms:W3CDTF">2020-07-16T15:04:00Z</dcterms:modified>
</cp:coreProperties>
</file>