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50298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502983" w:rsidRDefault="00AF1451" w:rsidP="00072FE9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B330C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072FE9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E638D2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502983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502983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444"/>
      </w:tblGrid>
      <w:tr w:rsidR="00C13B3B" w:rsidRPr="00502983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3B3B" w:rsidRPr="00502983" w:rsidRDefault="00E66510" w:rsidP="00B330C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04 de agosto </w:t>
            </w:r>
            <w:r w:rsidR="003637C1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502983" w:rsidRDefault="00447CF3" w:rsidP="00E6651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E66510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C13B3B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502983" w:rsidTr="003B5E00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502983" w:rsidRDefault="00BB619F" w:rsidP="00EB4B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</w:t>
            </w: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 xml:space="preserve">conforme </w:t>
            </w:r>
            <w:r w:rsidR="00EB4B94" w:rsidRPr="00AF4780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AF4780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</w:p>
        </w:tc>
      </w:tr>
      <w:tr w:rsidR="00C13B3B" w:rsidRPr="00502983" w:rsidTr="00C13B3B">
        <w:trPr>
          <w:trHeight w:val="284"/>
        </w:trPr>
        <w:tc>
          <w:tcPr>
            <w:tcW w:w="924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75227" w:rsidRPr="00502983" w:rsidRDefault="00275227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B330C6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B330C6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F76B0B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F76B0B" w:rsidRPr="00502983" w:rsidRDefault="00F76B0B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76B0B" w:rsidRPr="00FE7882" w:rsidRDefault="00F76B0B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F76B0B" w:rsidRPr="00FE7882" w:rsidRDefault="00F76B0B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interina</w:t>
            </w:r>
          </w:p>
        </w:tc>
      </w:tr>
      <w:tr w:rsidR="00AF6F28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AF6F28" w:rsidRPr="00502983" w:rsidRDefault="00AF6F28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F6F28" w:rsidRPr="00FE7882" w:rsidRDefault="00AF6F28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Roberta Krahe Edelweiss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AF6F28" w:rsidRPr="00FE7882" w:rsidRDefault="00AF6F28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CPUA-CAU/RS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502983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02983" w:rsidRDefault="0014163B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02983" w:rsidRDefault="00B6613E" w:rsidP="0014163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FE7882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FE7882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502983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6"/>
      </w:tblGrid>
      <w:tr w:rsidR="00AF1451" w:rsidRPr="0050298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502983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502983" w:rsidTr="00CF1A89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AF1451" w:rsidRPr="00502983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AF1451" w:rsidRPr="00502983" w:rsidRDefault="00A04BEE" w:rsidP="00A04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Todos presentes, conforme verificação eletrônica</w:t>
            </w:r>
            <w:r w:rsidR="00FE788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e reunião iniciada às 14 horas</w:t>
            </w:r>
            <w:r w:rsidR="00275227" w:rsidRPr="005029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14163B" w:rsidRPr="00502983" w:rsidRDefault="0014163B" w:rsidP="0014163B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506BFB" w:rsidRPr="00502983" w:rsidTr="00F02018">
        <w:trPr>
          <w:trHeight w:val="284"/>
        </w:trPr>
        <w:tc>
          <w:tcPr>
            <w:tcW w:w="9243" w:type="dxa"/>
            <w:gridSpan w:val="2"/>
            <w:shd w:val="clear" w:color="auto" w:fill="F2F2F2" w:themeFill="background1" w:themeFillShade="F2"/>
            <w:vAlign w:val="center"/>
          </w:tcPr>
          <w:p w:rsidR="00506BFB" w:rsidRPr="00502983" w:rsidRDefault="007F0D7E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C0D7E" w:rsidRPr="00502983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4C0D7E" w:rsidRPr="00502983" w:rsidRDefault="00B45951" w:rsidP="004C0D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vAlign w:val="center"/>
          </w:tcPr>
          <w:p w:rsidR="004C0D7E" w:rsidRPr="00B45951" w:rsidRDefault="00B45951" w:rsidP="00EB4B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5951">
              <w:rPr>
                <w:rFonts w:asciiTheme="minorHAnsi" w:hAnsiTheme="minorHAnsi" w:cstheme="minorHAnsi"/>
                <w:b/>
                <w:sz w:val="22"/>
                <w:szCs w:val="22"/>
              </w:rPr>
              <w:t>RRT para arquitetura de interiores e reformas</w:t>
            </w:r>
          </w:p>
        </w:tc>
      </w:tr>
      <w:tr w:rsidR="00B45951" w:rsidRPr="00502983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B45951" w:rsidRPr="00502983" w:rsidRDefault="00B45951" w:rsidP="004C0D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vAlign w:val="center"/>
          </w:tcPr>
          <w:p w:rsidR="00B45951" w:rsidRPr="00B45951" w:rsidRDefault="00B45951" w:rsidP="00EB4B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5951"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</w:tbl>
    <w:p w:rsidR="007B7439" w:rsidRPr="00502983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2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8"/>
        <w:gridCol w:w="9"/>
        <w:gridCol w:w="812"/>
        <w:gridCol w:w="1051"/>
        <w:gridCol w:w="1430"/>
        <w:gridCol w:w="771"/>
        <w:gridCol w:w="3396"/>
        <w:gridCol w:w="1209"/>
        <w:gridCol w:w="550"/>
        <w:gridCol w:w="20"/>
        <w:gridCol w:w="6524"/>
      </w:tblGrid>
      <w:tr w:rsidR="00F60321" w:rsidRPr="00502983" w:rsidTr="00106415">
        <w:trPr>
          <w:gridBefore w:val="2"/>
          <w:gridAfter w:val="2"/>
          <w:wBefore w:w="327" w:type="dxa"/>
          <w:wAfter w:w="6544" w:type="dxa"/>
          <w:trHeight w:val="284"/>
        </w:trPr>
        <w:tc>
          <w:tcPr>
            <w:tcW w:w="9219" w:type="dxa"/>
            <w:gridSpan w:val="7"/>
            <w:shd w:val="clear" w:color="auto" w:fill="F2F2F2" w:themeFill="background1" w:themeFillShade="F2"/>
            <w:vAlign w:val="center"/>
          </w:tcPr>
          <w:p w:rsidR="00F60321" w:rsidRPr="00502983" w:rsidRDefault="00660528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502983" w:rsidTr="00EF4FA7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E66510" w:rsidRPr="00502983" w:rsidRDefault="00E66510" w:rsidP="00E66510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vAlign w:val="center"/>
          </w:tcPr>
          <w:p w:rsidR="00E66510" w:rsidRPr="0027620C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Boas Práticas – Conceito Reserva Técnica para o CAU/RS</w:t>
            </w:r>
          </w:p>
        </w:tc>
      </w:tr>
      <w:tr w:rsidR="00E66510" w:rsidRPr="00502983" w:rsidTr="00EF4FA7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E66510" w:rsidRPr="00502983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vAlign w:val="center"/>
          </w:tcPr>
          <w:p w:rsidR="00E66510" w:rsidRPr="0027620C" w:rsidRDefault="00E66510" w:rsidP="00E66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20C">
              <w:rPr>
                <w:rFonts w:asciiTheme="minorHAnsi" w:hAnsiTheme="minorHAnsi" w:cstheme="minorHAnsi"/>
                <w:sz w:val="20"/>
                <w:szCs w:val="20"/>
              </w:rPr>
              <w:t>Presidência</w:t>
            </w:r>
          </w:p>
        </w:tc>
      </w:tr>
      <w:tr w:rsidR="00E66510" w:rsidRPr="00502983" w:rsidTr="00EF4FA7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E66510" w:rsidRPr="00502983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vAlign w:val="center"/>
          </w:tcPr>
          <w:p w:rsidR="00E66510" w:rsidRPr="0027620C" w:rsidRDefault="00E66510" w:rsidP="00E66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20C">
              <w:rPr>
                <w:rFonts w:asciiTheme="minorHAnsi" w:hAnsiTheme="minorHAnsi" w:cstheme="minorHAnsi"/>
                <w:sz w:val="20"/>
                <w:szCs w:val="20"/>
              </w:rPr>
              <w:t>Tiago Holzmann da Silva</w:t>
            </w:r>
          </w:p>
        </w:tc>
      </w:tr>
      <w:tr w:rsidR="004F20B6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502983" w:rsidRDefault="004F20B6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tcBorders>
              <w:bottom w:val="single" w:sz="4" w:space="0" w:color="A6A6A6"/>
            </w:tcBorders>
            <w:vAlign w:val="center"/>
          </w:tcPr>
          <w:p w:rsidR="00033090" w:rsidRPr="00502983" w:rsidRDefault="003870BA" w:rsidP="0041738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Holzmann da Silva </w:t>
            </w:r>
            <w:r w:rsidR="00E66510">
              <w:rPr>
                <w:rFonts w:asciiTheme="minorHAnsi" w:hAnsiTheme="minorHAnsi" w:cstheme="minorHAnsi"/>
                <w:sz w:val="22"/>
                <w:szCs w:val="22"/>
              </w:rPr>
              <w:t>questiona aos conselheiros, Oritz Campos e José A</w:t>
            </w:r>
            <w:r w:rsidR="0008470E">
              <w:rPr>
                <w:rFonts w:asciiTheme="minorHAnsi" w:hAnsiTheme="minorHAnsi" w:cstheme="minorHAnsi"/>
                <w:sz w:val="22"/>
                <w:szCs w:val="22"/>
              </w:rPr>
              <w:t>rthur</w:t>
            </w:r>
            <w:r w:rsidR="00E6651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8470E">
              <w:rPr>
                <w:rFonts w:asciiTheme="minorHAnsi" w:hAnsiTheme="minorHAnsi" w:cstheme="minorHAnsi"/>
                <w:sz w:val="22"/>
                <w:szCs w:val="22"/>
              </w:rPr>
              <w:t xml:space="preserve"> quando ao desenvolvimento de conceito para a Reserva Técnica, a ser apresentado ao Plenário para homologação, visando, a partir daí o desenvolvimento de campanha e orientações aos profissionais e lojistas, conforme definição gerada na 180ª Reunião do Conselho Diretor. </w:t>
            </w:r>
            <w:r w:rsidR="00EE2B4C">
              <w:rPr>
                <w:rFonts w:asciiTheme="minorHAnsi" w:hAnsiTheme="minorHAnsi" w:cstheme="minorHAnsi"/>
                <w:sz w:val="22"/>
                <w:szCs w:val="22"/>
              </w:rPr>
              <w:t>Após amplo de</w:t>
            </w:r>
            <w:r w:rsidR="00B335A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EE2B4C">
              <w:rPr>
                <w:rFonts w:asciiTheme="minorHAnsi" w:hAnsiTheme="minorHAnsi" w:cstheme="minorHAnsi"/>
                <w:sz w:val="22"/>
                <w:szCs w:val="22"/>
              </w:rPr>
              <w:t xml:space="preserve">ate, </w:t>
            </w:r>
            <w:r w:rsidR="00B335AD">
              <w:rPr>
                <w:rFonts w:asciiTheme="minorHAnsi" w:hAnsiTheme="minorHAnsi" w:cstheme="minorHAnsi"/>
                <w:sz w:val="22"/>
                <w:szCs w:val="22"/>
              </w:rPr>
              <w:t xml:space="preserve">define-se que deverão ser encaminhados todo e qualquer material relacionado ao tema, à Secretaria Geral do CAU/RS, Josiane Bernardi, de modo que sejam compilados os conteúdos, ficando sob a responsabilidade da presidência do CAU/RS, a elaboração do conceito de Reserva Técnica, bem </w:t>
            </w:r>
            <w:r w:rsidR="0041738E">
              <w:rPr>
                <w:rFonts w:asciiTheme="minorHAnsi" w:hAnsiTheme="minorHAnsi" w:cstheme="minorHAnsi"/>
                <w:sz w:val="22"/>
                <w:szCs w:val="22"/>
              </w:rPr>
              <w:t xml:space="preserve">como o </w:t>
            </w:r>
            <w:r w:rsidR="00B335AD">
              <w:rPr>
                <w:rFonts w:asciiTheme="minorHAnsi" w:hAnsiTheme="minorHAnsi" w:cstheme="minorHAnsi"/>
                <w:sz w:val="22"/>
                <w:szCs w:val="22"/>
              </w:rPr>
              <w:t xml:space="preserve">plano de </w:t>
            </w:r>
            <w:r w:rsidR="0041738E">
              <w:rPr>
                <w:rFonts w:asciiTheme="minorHAnsi" w:hAnsiTheme="minorHAnsi" w:cstheme="minorHAnsi"/>
                <w:sz w:val="22"/>
                <w:szCs w:val="22"/>
              </w:rPr>
              <w:t>desenvolvimento de campanhas e ações de orientação aos profissionais e à sociedade</w:t>
            </w:r>
            <w:r w:rsidR="003C61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1738E" w:rsidRPr="00502983" w:rsidTr="00EF4FA7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502983" w:rsidRDefault="0041738E" w:rsidP="0041738E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873F24" w:rsidRDefault="0041738E" w:rsidP="0041738E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873F24">
              <w:rPr>
                <w:rFonts w:asciiTheme="minorHAnsi" w:hAnsiTheme="minorHAnsi" w:cstheme="minorHAnsi"/>
                <w:b/>
                <w:sz w:val="20"/>
              </w:rPr>
              <w:t>Apresentação de Dados de Arrecadação de Julho/2020</w:t>
            </w:r>
          </w:p>
        </w:tc>
      </w:tr>
      <w:tr w:rsidR="0041738E" w:rsidRPr="00502983" w:rsidTr="00EF4FA7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502983" w:rsidRDefault="0041738E" w:rsidP="004173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600DDB" w:rsidRDefault="0041738E" w:rsidP="0041738E">
            <w:pPr>
              <w:rPr>
                <w:rFonts w:asciiTheme="minorHAnsi" w:hAnsiTheme="minorHAnsi" w:cstheme="minorHAnsi"/>
                <w:sz w:val="20"/>
              </w:rPr>
            </w:pPr>
            <w:r w:rsidRPr="00600DDB">
              <w:rPr>
                <w:rFonts w:asciiTheme="minorHAnsi" w:hAnsiTheme="minorHAnsi" w:cstheme="minorHAnsi"/>
                <w:sz w:val="20"/>
              </w:rPr>
              <w:t>Comissão de Planejamento e Finanças</w:t>
            </w:r>
          </w:p>
        </w:tc>
      </w:tr>
      <w:tr w:rsidR="0041738E" w:rsidRPr="00502983" w:rsidTr="00EF4FA7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502983" w:rsidRDefault="0041738E" w:rsidP="004173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600DDB" w:rsidRDefault="0041738E" w:rsidP="0041738E">
            <w:pPr>
              <w:rPr>
                <w:rFonts w:asciiTheme="minorHAnsi" w:hAnsiTheme="minorHAnsi" w:cstheme="minorHAnsi"/>
                <w:sz w:val="20"/>
              </w:rPr>
            </w:pPr>
            <w:r w:rsidRPr="00600DDB">
              <w:rPr>
                <w:rFonts w:asciiTheme="minorHAnsi" w:hAnsiTheme="minorHAnsi" w:cstheme="minorHAnsi"/>
                <w:sz w:val="20"/>
              </w:rPr>
              <w:t xml:space="preserve">Tales </w:t>
            </w:r>
            <w:proofErr w:type="spellStart"/>
            <w:r w:rsidRPr="00600DDB">
              <w:rPr>
                <w:rFonts w:asciiTheme="minorHAnsi" w:hAnsiTheme="minorHAnsi" w:cstheme="minorHAnsi"/>
                <w:sz w:val="20"/>
              </w:rPr>
              <w:t>Völker</w:t>
            </w:r>
            <w:proofErr w:type="spellEnd"/>
          </w:p>
        </w:tc>
      </w:tr>
      <w:tr w:rsidR="004F20B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4F20B6" w:rsidRPr="00502983" w:rsidRDefault="005555B8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E57583" w:rsidRPr="00502983" w:rsidRDefault="0041738E" w:rsidP="008E74F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Geral T</w:t>
            </w:r>
            <w:r w:rsidR="007D2A09">
              <w:rPr>
                <w:rFonts w:asciiTheme="minorHAnsi" w:hAnsiTheme="minorHAnsi" w:cstheme="minorHAnsi"/>
                <w:sz w:val="22"/>
                <w:szCs w:val="22"/>
              </w:rPr>
              <w:t>ales apresenta a situação final de dados de arrecadação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2A09">
              <w:rPr>
                <w:rFonts w:asciiTheme="minorHAnsi" w:hAnsiTheme="minorHAnsi" w:cstheme="minorHAnsi"/>
                <w:sz w:val="22"/>
                <w:szCs w:val="22"/>
              </w:rPr>
              <w:t>no mês de julho, que result</w:t>
            </w:r>
            <w:r w:rsidR="008E74F5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7D2A09">
              <w:rPr>
                <w:rFonts w:asciiTheme="minorHAnsi" w:hAnsiTheme="minorHAnsi" w:cstheme="minorHAnsi"/>
                <w:sz w:val="22"/>
                <w:szCs w:val="22"/>
              </w:rPr>
              <w:t xml:space="preserve"> em </w:t>
            </w:r>
            <w:r w:rsidR="008E74F5" w:rsidRPr="008E74F5">
              <w:rPr>
                <w:rFonts w:asciiTheme="minorHAnsi" w:hAnsiTheme="minorHAnsi" w:cstheme="minorHAnsi"/>
                <w:i/>
                <w:sz w:val="22"/>
                <w:szCs w:val="22"/>
              </w:rPr>
              <w:t>superávit</w:t>
            </w:r>
            <w:r w:rsidR="008E74F5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8E74F5" w:rsidRPr="008E74F5">
              <w:rPr>
                <w:rFonts w:asciiTheme="minorHAnsi" w:hAnsiTheme="minorHAnsi" w:cstheme="minorHAnsi"/>
                <w:sz w:val="22"/>
                <w:szCs w:val="22"/>
              </w:rPr>
              <w:t>R$ 185.793,85</w:t>
            </w:r>
            <w:r w:rsidR="009F2C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E74F5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502983" w:rsidRDefault="008E74F5" w:rsidP="008E74F5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27620C" w:rsidRDefault="008E74F5" w:rsidP="008E74F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SGI - Sistema de Gestão Integrada</w:t>
            </w:r>
          </w:p>
        </w:tc>
      </w:tr>
      <w:tr w:rsidR="008E74F5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502983" w:rsidRDefault="008E74F5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27620C" w:rsidRDefault="008E74F5" w:rsidP="008E74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Presidência </w:t>
            </w:r>
          </w:p>
        </w:tc>
      </w:tr>
      <w:tr w:rsidR="008E74F5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502983" w:rsidRDefault="008E74F5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27620C" w:rsidRDefault="002B55D2" w:rsidP="008E74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0DDB">
              <w:rPr>
                <w:rFonts w:asciiTheme="minorHAnsi" w:hAnsiTheme="minorHAnsi" w:cstheme="minorHAnsi"/>
                <w:sz w:val="20"/>
              </w:rPr>
              <w:t xml:space="preserve">Tales </w:t>
            </w:r>
            <w:proofErr w:type="spellStart"/>
            <w:r w:rsidRPr="00600DDB">
              <w:rPr>
                <w:rFonts w:asciiTheme="minorHAnsi" w:hAnsiTheme="minorHAnsi" w:cstheme="minorHAnsi"/>
                <w:sz w:val="20"/>
              </w:rPr>
              <w:t>Völker</w:t>
            </w:r>
            <w:proofErr w:type="spellEnd"/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1E60" w:rsidRPr="002B55D2" w:rsidRDefault="005F77D0" w:rsidP="002B55D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2B55D2">
              <w:rPr>
                <w:rFonts w:asciiTheme="minorHAnsi" w:hAnsiTheme="minorHAnsi" w:cstheme="minorHAnsi"/>
                <w:sz w:val="20"/>
                <w:szCs w:val="22"/>
              </w:rPr>
              <w:t>O Gerente Geral Tales Volker apresenta</w:t>
            </w:r>
            <w:r w:rsidR="00654F1E" w:rsidRPr="002B55D2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8E74F5" w:rsidRPr="002B55D2">
              <w:rPr>
                <w:rFonts w:asciiTheme="minorHAnsi" w:hAnsiTheme="minorHAnsi" w:cstheme="minorHAnsi"/>
                <w:sz w:val="20"/>
                <w:szCs w:val="22"/>
              </w:rPr>
              <w:t>relato sobre a situação de desenvolvimento dos projetos e m</w:t>
            </w:r>
            <w:r w:rsidR="002B55D2" w:rsidRPr="002B55D2">
              <w:rPr>
                <w:rFonts w:asciiTheme="minorHAnsi" w:hAnsiTheme="minorHAnsi" w:cstheme="minorHAnsi"/>
                <w:sz w:val="20"/>
                <w:szCs w:val="22"/>
              </w:rPr>
              <w:t>ódulos em desenvolvimento junto a empresa contratada para desenvolvimento e o CAU/BR. Salienta que estão em fase de testes, os módulos de Tramitação de Documentos (ECM), de Compras e de Recursos de Avaliação e que o módulo de Planejamento, que havia sido dado início ao desenvolvimento, está em espera, no</w:t>
            </w:r>
            <w:r w:rsidR="002B55D2" w:rsidRPr="002B55D2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 </w:t>
            </w:r>
            <w:r w:rsidR="002B55D2" w:rsidRPr="002B55D2">
              <w:rPr>
                <w:rFonts w:asciiTheme="minorHAnsi" w:hAnsiTheme="minorHAnsi" w:cstheme="minorHAnsi"/>
                <w:sz w:val="20"/>
                <w:szCs w:val="22"/>
              </w:rPr>
              <w:t>CAU/BR</w:t>
            </w:r>
            <w:r w:rsidR="002B55D2">
              <w:rPr>
                <w:rFonts w:asciiTheme="minorHAnsi" w:hAnsiTheme="minorHAnsi" w:cstheme="minorHAnsi"/>
                <w:sz w:val="20"/>
                <w:szCs w:val="22"/>
              </w:rPr>
              <w:t>, bem como outros que ainda não foram disponibilizados.</w:t>
            </w:r>
          </w:p>
        </w:tc>
      </w:tr>
      <w:tr w:rsidR="002014D2" w:rsidRPr="00502983" w:rsidTr="00091969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311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305AD8" w:rsidRDefault="002014D2" w:rsidP="00B330C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E77939" w:rsidRDefault="003B075A" w:rsidP="009A6918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Evento Dia do</w:t>
            </w:r>
            <w:r w:rsidR="002B55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Patrimônio Cultural – CAU/RS e SEDAC/RS</w:t>
            </w:r>
          </w:p>
        </w:tc>
      </w:tr>
      <w:tr w:rsidR="002B55D2" w:rsidRPr="00502983" w:rsidTr="00EF4FA7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B55D2" w:rsidRPr="00502983" w:rsidRDefault="002B55D2" w:rsidP="002B5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B55D2" w:rsidRPr="0027620C" w:rsidRDefault="002B55D2" w:rsidP="002B55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20C">
              <w:rPr>
                <w:rFonts w:asciiTheme="minorHAnsi" w:hAnsiTheme="minorHAnsi" w:cstheme="minorHAnsi"/>
                <w:sz w:val="20"/>
                <w:szCs w:val="20"/>
              </w:rPr>
              <w:t>Presidência</w:t>
            </w:r>
          </w:p>
        </w:tc>
      </w:tr>
      <w:tr w:rsidR="002B55D2" w:rsidRPr="00502983" w:rsidTr="00EF4FA7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B55D2" w:rsidRPr="00502983" w:rsidRDefault="002B55D2" w:rsidP="002B5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B55D2" w:rsidRPr="0027620C" w:rsidRDefault="002B55D2" w:rsidP="002B55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20C">
              <w:rPr>
                <w:rFonts w:asciiTheme="minorHAnsi" w:hAnsiTheme="minorHAnsi" w:cstheme="minorHAnsi"/>
                <w:sz w:val="20"/>
                <w:szCs w:val="20"/>
              </w:rPr>
              <w:t>Tiago Holzmann da Silva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6"/>
            <w:vAlign w:val="center"/>
          </w:tcPr>
          <w:p w:rsidR="00091969" w:rsidRPr="00502983" w:rsidRDefault="002B55D2" w:rsidP="007242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O</w:t>
            </w:r>
            <w:r w:rsidR="00724272">
              <w:rPr>
                <w:rFonts w:asciiTheme="minorHAnsi" w:hAnsiTheme="minorHAnsi" w:cstheme="minorHAnsi"/>
                <w:sz w:val="22"/>
                <w:szCs w:val="22"/>
              </w:rPr>
              <w:t xml:space="preserve">ritz, convida todos a participar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evento a ocorrer na próxima semana, dias 13 e 14 de agosto, realizado pelo </w:t>
            </w:r>
            <w:r w:rsidRPr="002B55D2">
              <w:rPr>
                <w:rFonts w:asciiTheme="minorHAnsi" w:hAnsiTheme="minorHAnsi" w:cstheme="minorHAnsi"/>
                <w:sz w:val="22"/>
                <w:szCs w:val="22"/>
              </w:rPr>
              <w:t>CAU/RS, em parceria com a Secretaria de Estado da Cultura do Rio Grande do Sul (</w:t>
            </w:r>
            <w:proofErr w:type="spellStart"/>
            <w:r w:rsidRPr="002B55D2">
              <w:rPr>
                <w:rFonts w:asciiTheme="minorHAnsi" w:hAnsiTheme="minorHAnsi" w:cstheme="minorHAnsi"/>
                <w:sz w:val="22"/>
                <w:szCs w:val="22"/>
              </w:rPr>
              <w:t>Sedac</w:t>
            </w:r>
            <w:proofErr w:type="spellEnd"/>
            <w:r w:rsidRPr="002B55D2">
              <w:rPr>
                <w:rFonts w:asciiTheme="minorHAnsi" w:hAnsiTheme="minorHAnsi" w:cstheme="minorHAnsi"/>
                <w:sz w:val="22"/>
                <w:szCs w:val="22"/>
              </w:rPr>
              <w:t>) e o Instituto do Patrimônio Histórico e Artístico do Estado (</w:t>
            </w:r>
            <w:proofErr w:type="spellStart"/>
            <w:r w:rsidRPr="002B55D2">
              <w:rPr>
                <w:rFonts w:asciiTheme="minorHAnsi" w:hAnsiTheme="minorHAnsi" w:cstheme="minorHAnsi"/>
                <w:sz w:val="22"/>
                <w:szCs w:val="22"/>
              </w:rPr>
              <w:t>Iphae</w:t>
            </w:r>
            <w:proofErr w:type="spellEnd"/>
            <w:r w:rsidRPr="002B55D2">
              <w:rPr>
                <w:rFonts w:asciiTheme="minorHAnsi" w:hAnsiTheme="minorHAnsi" w:cstheme="minorHAnsi"/>
                <w:sz w:val="22"/>
                <w:szCs w:val="22"/>
              </w:rPr>
              <w:t>), com apoio da Universidade Federal do Rio Grande do Sul (UFRGS)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B55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A63B7" w:rsidRPr="00502983" w:rsidTr="00B330C6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169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502983" w:rsidRDefault="007A63B7" w:rsidP="007A63B7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27620C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Calendário Geral CAU/RS – 2º Semestre 2020 </w:t>
            </w:r>
          </w:p>
        </w:tc>
      </w:tr>
      <w:tr w:rsidR="007A63B7" w:rsidRPr="00502983" w:rsidTr="00EF4FA7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502983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B848E7" w:rsidRDefault="007A63B7" w:rsidP="007A63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Presidência</w:t>
            </w:r>
          </w:p>
        </w:tc>
      </w:tr>
      <w:tr w:rsidR="007A63B7" w:rsidRPr="00502983" w:rsidTr="00EF4FA7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502983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A63B7" w:rsidRDefault="007A63B7" w:rsidP="007A63B7">
            <w:r w:rsidRPr="00873F24">
              <w:rPr>
                <w:rFonts w:asciiTheme="minorHAnsi" w:hAnsiTheme="minorHAnsi" w:cstheme="minorHAnsi"/>
                <w:sz w:val="20"/>
              </w:rPr>
              <w:t>Josiane Bernardi</w:t>
            </w:r>
          </w:p>
        </w:tc>
      </w:tr>
      <w:tr w:rsidR="007A63B7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7A63B7" w:rsidRPr="00502983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7A63B7" w:rsidRPr="00502983" w:rsidRDefault="007A63B7" w:rsidP="005B78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Josiane, informa que, devid</w:t>
            </w:r>
            <w:r w:rsidR="001F0FBE">
              <w:rPr>
                <w:rFonts w:asciiTheme="minorHAnsi" w:hAnsiTheme="minorHAnsi" w:cstheme="minorHAnsi"/>
                <w:sz w:val="22"/>
                <w:szCs w:val="22"/>
              </w:rPr>
              <w:t>o ao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</w:t>
            </w:r>
            <w:r w:rsidR="001F0FBE">
              <w:rPr>
                <w:rFonts w:asciiTheme="minorHAnsi" w:hAnsiTheme="minorHAnsi" w:cstheme="minorHAnsi"/>
                <w:sz w:val="22"/>
                <w:szCs w:val="22"/>
              </w:rPr>
              <w:t xml:space="preserve">ncelamento do Encontro das </w:t>
            </w:r>
            <w:proofErr w:type="spellStart"/>
            <w:r w:rsidR="001F0FBE">
              <w:rPr>
                <w:rFonts w:asciiTheme="minorHAnsi" w:hAnsiTheme="minorHAnsi" w:cstheme="minorHAnsi"/>
                <w:sz w:val="22"/>
                <w:szCs w:val="22"/>
              </w:rPr>
              <w:t>CEPs</w:t>
            </w:r>
            <w:proofErr w:type="spellEnd"/>
            <w:r w:rsidR="001F0FBE">
              <w:rPr>
                <w:rFonts w:asciiTheme="minorHAnsi" w:hAnsiTheme="minorHAnsi" w:cstheme="minorHAnsi"/>
                <w:sz w:val="22"/>
                <w:szCs w:val="22"/>
              </w:rPr>
              <w:t xml:space="preserve">-UF, previsto para a próxima sexta-feira, dia 07/08, o Calendário Geral, homologado pela DPO-RS nº 1195/2020, precisará ser ajustado. Solicita aos coordenadores das Comissões, que enviem, até a próxima sexta-feira, 07 de agosto, à Secretaria Geral, </w:t>
            </w:r>
            <w:r w:rsidR="005B7833">
              <w:rPr>
                <w:rFonts w:asciiTheme="minorHAnsi" w:hAnsiTheme="minorHAnsi" w:cstheme="minorHAnsi"/>
                <w:sz w:val="22"/>
                <w:szCs w:val="22"/>
              </w:rPr>
              <w:t>a solicitação de inclusão</w:t>
            </w:r>
            <w:r w:rsidR="001F0FBE">
              <w:rPr>
                <w:rFonts w:asciiTheme="minorHAnsi" w:hAnsiTheme="minorHAnsi" w:cstheme="minorHAnsi"/>
                <w:sz w:val="22"/>
                <w:szCs w:val="22"/>
              </w:rPr>
              <w:t xml:space="preserve"> de realização de eventos, </w:t>
            </w:r>
            <w:r w:rsidR="005B7833">
              <w:rPr>
                <w:rFonts w:asciiTheme="minorHAnsi" w:hAnsiTheme="minorHAnsi" w:cstheme="minorHAnsi"/>
                <w:sz w:val="22"/>
                <w:szCs w:val="22"/>
              </w:rPr>
              <w:t xml:space="preserve">caso pretendam realizar, de </w:t>
            </w:r>
            <w:r w:rsidR="001F0FBE">
              <w:rPr>
                <w:rFonts w:asciiTheme="minorHAnsi" w:hAnsiTheme="minorHAnsi" w:cstheme="minorHAnsi"/>
                <w:sz w:val="22"/>
                <w:szCs w:val="22"/>
              </w:rPr>
              <w:t>modo que os ajus</w:t>
            </w:r>
            <w:r w:rsidR="005B783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F0FBE">
              <w:rPr>
                <w:rFonts w:asciiTheme="minorHAnsi" w:hAnsiTheme="minorHAnsi" w:cstheme="minorHAnsi"/>
                <w:sz w:val="22"/>
                <w:szCs w:val="22"/>
              </w:rPr>
              <w:t xml:space="preserve">es possam ser contemplados </w:t>
            </w:r>
            <w:r w:rsidR="005B7833">
              <w:rPr>
                <w:rFonts w:asciiTheme="minorHAnsi" w:hAnsiTheme="minorHAnsi" w:cstheme="minorHAnsi"/>
                <w:sz w:val="22"/>
                <w:szCs w:val="22"/>
              </w:rPr>
              <w:t xml:space="preserve">em Deliberação Plenária </w:t>
            </w:r>
            <w:r w:rsidR="005B7833" w:rsidRPr="005B7833">
              <w:rPr>
                <w:rFonts w:asciiTheme="minorHAnsi" w:hAnsiTheme="minorHAnsi" w:cstheme="minorHAnsi"/>
                <w:i/>
                <w:sz w:val="22"/>
                <w:szCs w:val="22"/>
              </w:rPr>
              <w:t>Ad R</w:t>
            </w:r>
            <w:r w:rsidR="005B7833">
              <w:rPr>
                <w:rFonts w:asciiTheme="minorHAnsi" w:hAnsiTheme="minorHAnsi" w:cstheme="minorHAnsi"/>
                <w:i/>
                <w:sz w:val="22"/>
                <w:szCs w:val="22"/>
              </w:rPr>
              <w:t>eferendum</w:t>
            </w:r>
            <w:r w:rsidR="005B78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0F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B075A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502983" w:rsidRDefault="003B075A" w:rsidP="003B075A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27620C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Pagamento CSC – solicitação de desconto referente ao período de inatividade dos sistemas (SICCAU e Site)</w:t>
            </w:r>
          </w:p>
        </w:tc>
      </w:tr>
      <w:tr w:rsidR="003B075A" w:rsidRPr="00502983" w:rsidTr="006D74FF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502983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27620C" w:rsidRDefault="003B075A" w:rsidP="003B07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20C">
              <w:rPr>
                <w:rFonts w:asciiTheme="minorHAnsi" w:hAnsiTheme="minorHAnsi" w:cstheme="minorHAnsi"/>
                <w:sz w:val="20"/>
                <w:szCs w:val="20"/>
              </w:rPr>
              <w:t>Presidência</w:t>
            </w:r>
          </w:p>
        </w:tc>
      </w:tr>
      <w:tr w:rsidR="003B075A" w:rsidRPr="00502983" w:rsidTr="006D74FF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502983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27620C" w:rsidRDefault="003B075A" w:rsidP="003B07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620C">
              <w:rPr>
                <w:rFonts w:asciiTheme="minorHAnsi" w:hAnsiTheme="minorHAnsi" w:cstheme="minorHAnsi"/>
                <w:sz w:val="20"/>
                <w:szCs w:val="20"/>
              </w:rPr>
              <w:t>Tiago Holzmann da Silva</w:t>
            </w:r>
          </w:p>
        </w:tc>
      </w:tr>
      <w:tr w:rsidR="007A63B7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7A63B7" w:rsidRPr="00502983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7A63B7" w:rsidRPr="00502983" w:rsidRDefault="007A63B7" w:rsidP="009400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B075A">
              <w:rPr>
                <w:rFonts w:asciiTheme="minorHAnsi" w:hAnsiTheme="minorHAnsi" w:cstheme="minorHAnsi"/>
                <w:sz w:val="22"/>
                <w:szCs w:val="22"/>
              </w:rPr>
              <w:t xml:space="preserve"> presidente Tiago comenta sobre as perdas, financeiras, de produtividade e atendimento aos profissionais) durante o período de inatividade do SICCAU e site do CAU/RS. Salienta que o pagamento mensal para o CSC foi realizado, com a intenção de solicitar ressarcimento de valores, proporcional aos dias de pane no sistema. O Conselheiro Rômulo relata que a </w:t>
            </w:r>
            <w:proofErr w:type="spellStart"/>
            <w:r w:rsidR="003B075A">
              <w:rPr>
                <w:rFonts w:asciiTheme="minorHAnsi" w:hAnsiTheme="minorHAnsi" w:cstheme="minorHAnsi"/>
                <w:sz w:val="22"/>
                <w:szCs w:val="22"/>
              </w:rPr>
              <w:t>CPFi</w:t>
            </w:r>
            <w:proofErr w:type="spellEnd"/>
            <w:r w:rsidR="003B075A">
              <w:rPr>
                <w:rFonts w:asciiTheme="minorHAnsi" w:hAnsiTheme="minorHAnsi" w:cstheme="minorHAnsi"/>
                <w:sz w:val="22"/>
                <w:szCs w:val="22"/>
              </w:rPr>
              <w:t xml:space="preserve"> tratou do tema e se propôs a desenvolver manifestação ao CAU/BR, com a solicitação de ressarcimento na proporção necessária. </w:t>
            </w:r>
            <w:r w:rsidR="0094008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D2087">
              <w:rPr>
                <w:rFonts w:asciiTheme="minorHAnsi" w:hAnsiTheme="minorHAnsi" w:cstheme="minorHAnsi"/>
                <w:sz w:val="22"/>
                <w:szCs w:val="22"/>
              </w:rPr>
              <w:t xml:space="preserve">anifesta ainda, que a opinião dos membros da Comissão, o </w:t>
            </w:r>
            <w:r w:rsidR="00940084">
              <w:rPr>
                <w:rFonts w:asciiTheme="minorHAnsi" w:hAnsiTheme="minorHAnsi" w:cstheme="minorHAnsi"/>
                <w:sz w:val="22"/>
                <w:szCs w:val="22"/>
              </w:rPr>
              <w:t xml:space="preserve">prejuízo maior, com a interrupção dos serviços, </w:t>
            </w:r>
            <w:r w:rsidR="00940084" w:rsidRPr="00940084">
              <w:rPr>
                <w:rFonts w:asciiTheme="minorHAnsi" w:hAnsiTheme="minorHAnsi" w:cstheme="minorHAnsi"/>
                <w:sz w:val="22"/>
                <w:szCs w:val="22"/>
              </w:rPr>
              <w:t>foi d</w:t>
            </w:r>
            <w:r w:rsidR="0094008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40084" w:rsidRPr="00940084">
              <w:rPr>
                <w:rFonts w:asciiTheme="minorHAnsi" w:hAnsiTheme="minorHAnsi" w:cstheme="minorHAnsi"/>
                <w:sz w:val="22"/>
                <w:szCs w:val="22"/>
              </w:rPr>
              <w:t xml:space="preserve"> imagem</w:t>
            </w:r>
            <w:r w:rsidR="00940084">
              <w:rPr>
                <w:rFonts w:asciiTheme="minorHAnsi" w:hAnsiTheme="minorHAnsi" w:cstheme="minorHAnsi"/>
                <w:sz w:val="22"/>
                <w:szCs w:val="22"/>
              </w:rPr>
              <w:t xml:space="preserve"> do Conselho para os profissionais. Define-se pelo envio de ofício ao CAU/BR, sobre o tema. </w:t>
            </w:r>
          </w:p>
        </w:tc>
      </w:tr>
      <w:tr w:rsidR="008207C2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8207C2" w:rsidRPr="00502983" w:rsidRDefault="008207C2" w:rsidP="008207C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vAlign w:val="center"/>
          </w:tcPr>
          <w:p w:rsidR="008207C2" w:rsidRPr="00E77939" w:rsidRDefault="008207C2" w:rsidP="008207C2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Campanha – Pagamento Anuidades em atraso</w:t>
            </w:r>
          </w:p>
        </w:tc>
      </w:tr>
      <w:tr w:rsidR="008207C2" w:rsidRPr="00502983" w:rsidTr="00EF4FA7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8207C2" w:rsidRPr="00502983" w:rsidRDefault="008207C2" w:rsidP="008207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</w:tcPr>
          <w:p w:rsidR="008207C2" w:rsidRPr="00502983" w:rsidRDefault="008207C2" w:rsidP="008207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8207C2" w:rsidRPr="00502983" w:rsidTr="00EF4FA7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8207C2" w:rsidRPr="00502983" w:rsidRDefault="008207C2" w:rsidP="008207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</w:tcPr>
          <w:p w:rsidR="008207C2" w:rsidRPr="00502983" w:rsidRDefault="008207C2" w:rsidP="008207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8207C2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8207C2" w:rsidRPr="00502983" w:rsidRDefault="008207C2" w:rsidP="008207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8207C2" w:rsidRPr="00502983" w:rsidRDefault="008207C2" w:rsidP="008207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Rômulo questiona sobre o desenvolvimento da Campanha acima referida, conforme solicitação do Conselho Diretor, na 183ª reunião, ocorrida em 08 de julho, tendo em vista ser tema importante para o CAU/RS. O Gerente Geral Tales, informa que a Gerência Financeira enviou o conteúdo necessário para desenvolvimento da campanha, à Comunicação e que esta, no entanto, devido ao grande volume de trabalho, não trabalhou ainda neste tema. Diante da explanação, define-se pelo envio de memorando à Gerência de Comunicação, solicitando prioridade a este projeto, devendo a campanha ser divulgada, com a máxima urgência.</w:t>
            </w:r>
          </w:p>
        </w:tc>
      </w:tr>
      <w:tr w:rsidR="005B7833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502983" w:rsidRDefault="005B7833" w:rsidP="005B783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vAlign w:val="center"/>
          </w:tcPr>
          <w:p w:rsidR="005B7833" w:rsidRPr="00502983" w:rsidRDefault="008207C2" w:rsidP="008207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Campanha - </w:t>
            </w:r>
            <w:r w:rsidR="005B7833" w:rsidRPr="00B459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RRT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5B7833" w:rsidRPr="00B459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rquitetura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Interiores e R</w:t>
            </w:r>
            <w:r w:rsidR="005B7833" w:rsidRPr="00B45951">
              <w:rPr>
                <w:rFonts w:asciiTheme="minorHAnsi" w:hAnsiTheme="minorHAnsi" w:cstheme="minorHAnsi"/>
                <w:b/>
                <w:sz w:val="22"/>
                <w:szCs w:val="22"/>
              </w:rPr>
              <w:t>eformas</w:t>
            </w:r>
          </w:p>
        </w:tc>
      </w:tr>
      <w:tr w:rsidR="005B7833" w:rsidRPr="00502983" w:rsidTr="00EF4FA7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502983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vAlign w:val="center"/>
          </w:tcPr>
          <w:p w:rsidR="005B7833" w:rsidRPr="00502983" w:rsidRDefault="00EF4FA7" w:rsidP="005B78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5B7833" w:rsidRPr="00502983" w:rsidTr="00EF4FA7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502983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vAlign w:val="center"/>
          </w:tcPr>
          <w:p w:rsidR="005B7833" w:rsidRPr="00502983" w:rsidRDefault="00EF4FA7" w:rsidP="005B78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5B7833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502983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5B7833" w:rsidRPr="00502983" w:rsidRDefault="00EF4FA7" w:rsidP="00EF4F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Tiago, questiona sobre o desenvolvimento da Campanha acima referida, conforme solicitação do Conselho Diretor, na 183ª reunião, ocorrida em 08 de julho, tendo em vista ser tema importante para o CAU/RS. O Gerente Geral Tales, informa que a Gerência de Fiscalização enviou o conteúdo necessário para desenvolvimento da campanha, à Comunicação e que esta, no entanto, devido ao grande volume de demandas, não trabalhou ainda neste tema. Diante da explanação, define-se pelo envio de memorando à Gerência de Comunicação, solicitando prioridade a este projeto, devendo a campanha ser divulgada, com a máxima urgência.</w:t>
            </w:r>
          </w:p>
        </w:tc>
      </w:tr>
      <w:tr w:rsidR="007A63B7" w:rsidRPr="00502983" w:rsidTr="00EF4FA7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9248" w:type="dxa"/>
            <w:gridSpan w:val="9"/>
            <w:shd w:val="clear" w:color="auto" w:fill="F2F2F2" w:themeFill="background1" w:themeFillShade="F2"/>
            <w:vAlign w:val="center"/>
          </w:tcPr>
          <w:p w:rsidR="007A63B7" w:rsidRPr="00B45951" w:rsidRDefault="007A63B7" w:rsidP="007A63B7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5951">
              <w:rPr>
                <w:rFonts w:asciiTheme="minorHAnsi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5B7833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502983" w:rsidRDefault="005B7833" w:rsidP="005B7833">
            <w:pPr>
              <w:ind w:firstLine="3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4.1. </w:t>
            </w:r>
          </w:p>
        </w:tc>
        <w:tc>
          <w:tcPr>
            <w:tcW w:w="7376" w:type="dxa"/>
            <w:gridSpan w:val="6"/>
            <w:vAlign w:val="center"/>
          </w:tcPr>
          <w:p w:rsidR="005B7833" w:rsidRPr="00B330C6" w:rsidRDefault="00AC0F80" w:rsidP="00AC0F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Flexibilização das regras de Distanciamento Controlado no Rio Grande do Sul - </w:t>
            </w:r>
            <w:r w:rsidR="003B075A" w:rsidRPr="003B075A">
              <w:rPr>
                <w:rFonts w:asciiTheme="minorHAnsi" w:hAnsiTheme="minorHAnsi" w:cstheme="minorHAnsi"/>
                <w:b/>
                <w:sz w:val="22"/>
                <w:szCs w:val="22"/>
              </w:rPr>
              <w:t>DECRETO Nº 55.414, DE 3 DE AGOSTO DE 2020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</w:p>
        </w:tc>
      </w:tr>
      <w:tr w:rsidR="005B7833" w:rsidRPr="00502983" w:rsidTr="00EF4FA7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502983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</w:tcPr>
          <w:p w:rsidR="005B7833" w:rsidRPr="00502983" w:rsidRDefault="005B7833" w:rsidP="005B78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5B7833" w:rsidRPr="00502983" w:rsidTr="00EF4FA7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502983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</w:tcPr>
          <w:p w:rsidR="005B7833" w:rsidRPr="00502983" w:rsidRDefault="005B7833" w:rsidP="005B78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5B7833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5B7833" w:rsidRPr="00502983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AC0F80" w:rsidRDefault="005B7833" w:rsidP="00AC0F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</w:t>
            </w:r>
            <w:r w:rsidR="00AC0F80">
              <w:rPr>
                <w:rFonts w:asciiTheme="minorHAnsi" w:hAnsiTheme="minorHAnsi" w:cstheme="minorHAnsi"/>
                <w:sz w:val="22"/>
                <w:szCs w:val="22"/>
              </w:rPr>
              <w:t xml:space="preserve">Josiane, informa aos conselheiros, da publicação do Decreto Estadual acima referido, que flexibilizou as regras do Distanciamento Controlado no Estado do Rio Grande do Sul, permitindo abertura de comércios não essenciais e outros, mesmo quando em bandeira vermelha, ou seja, atribui permissões de município com Bandeira Laranja, para regiões classificadas com Bandeira Vermelha, desde que atendam requisitos previstos, quanto a número de casos de Covid-19 e de leitos disponíveis para internação. </w:t>
            </w:r>
          </w:p>
          <w:p w:rsidR="005B7833" w:rsidRPr="00502983" w:rsidRDefault="00AC0F80" w:rsidP="001D20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Diante </w:t>
            </w:r>
            <w:r w:rsidR="001D2087">
              <w:rPr>
                <w:rFonts w:asciiTheme="minorHAnsi" w:hAnsiTheme="minorHAnsi" w:cstheme="minorHAnsi"/>
                <w:sz w:val="22"/>
                <w:szCs w:val="22"/>
              </w:rPr>
              <w:t xml:space="preserve">da alteração das normas, o Conselho Diretor define que sejam retomadas as escalas presenciais nas sedes do CAU/RS, tal como eram realizadas anteriormente, bem como a contagem dos prazos relacionados a processos ético-disciplinares, de fiscalização e de cobranças, por tempo indeterminado. </w:t>
            </w:r>
          </w:p>
        </w:tc>
      </w:tr>
      <w:tr w:rsidR="007A63B7" w:rsidRPr="00502983" w:rsidTr="00AF4780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391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502983" w:rsidRDefault="007A63B7" w:rsidP="007A63B7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106415" w:rsidRDefault="007A63B7" w:rsidP="007A63B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064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7A63B7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502983" w:rsidRDefault="007A63B7" w:rsidP="007A63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502983" w:rsidRDefault="007A63B7" w:rsidP="007A63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reunião é </w:t>
            </w: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encerrada as 16h15min, com a presença de todos, conforme registro eletrônico.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A63B7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8"/>
            <w:shd w:val="clear" w:color="auto" w:fill="auto"/>
          </w:tcPr>
          <w:p w:rsidR="007A63B7" w:rsidRPr="00502983" w:rsidRDefault="007A63B7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63B7" w:rsidRDefault="007A63B7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63B7" w:rsidRDefault="007A63B7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63B7" w:rsidRPr="00502983" w:rsidRDefault="007A63B7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  <w:p w:rsidR="007A63B7" w:rsidRDefault="007A63B7" w:rsidP="007A6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4780" w:rsidRPr="00502983" w:rsidRDefault="00AF4780" w:rsidP="007A6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63B7" w:rsidRDefault="007A63B7" w:rsidP="007A6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OSIANE BERNARDI</w:t>
            </w:r>
          </w:p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</w:t>
            </w: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Geral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do </w:t>
            </w: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CAU/RS</w:t>
            </w:r>
          </w:p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7A63B7" w:rsidRPr="00502983" w:rsidRDefault="007A63B7" w:rsidP="007A63B7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A63B7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63B7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</w:tcPr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63B7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3"/>
          <w:gridAfter w:val="4"/>
          <w:wBefore w:w="1139" w:type="dxa"/>
          <w:wAfter w:w="8303" w:type="dxa"/>
          <w:trHeight w:val="284"/>
        </w:trPr>
        <w:tc>
          <w:tcPr>
            <w:tcW w:w="2481" w:type="dxa"/>
            <w:gridSpan w:val="2"/>
            <w:shd w:val="clear" w:color="auto" w:fill="auto"/>
          </w:tcPr>
          <w:p w:rsidR="007A63B7" w:rsidRPr="00502983" w:rsidRDefault="007A63B7" w:rsidP="007A63B7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7A63B7" w:rsidRPr="00502983" w:rsidRDefault="007A63B7" w:rsidP="007A63B7">
            <w:pPr>
              <w:ind w:left="18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502983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502983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A7" w:rsidRDefault="00EF4FA7" w:rsidP="004C3048">
      <w:r>
        <w:separator/>
      </w:r>
    </w:p>
  </w:endnote>
  <w:endnote w:type="continuationSeparator" w:id="0">
    <w:p w:rsidR="00EF4FA7" w:rsidRDefault="00EF4F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5950FA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4FA7" w:rsidRPr="005F2A2D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F478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F4FA7" w:rsidRDefault="00EF4FA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F478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A7" w:rsidRDefault="00EF4FA7" w:rsidP="004C3048">
      <w:r>
        <w:separator/>
      </w:r>
    </w:p>
  </w:footnote>
  <w:footnote w:type="continuationSeparator" w:id="0">
    <w:p w:rsidR="00EF4FA7" w:rsidRDefault="00EF4F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EF4FA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072FE9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185</w:t>
    </w:r>
    <w:r w:rsidR="00EF4FA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EF4FA7">
      <w:rPr>
        <w:rFonts w:ascii="Arial" w:hAnsi="Arial"/>
        <w:noProof/>
        <w:color w:val="296D7A"/>
        <w:sz w:val="22"/>
        <w:lang w:eastAsia="pt-BR"/>
      </w:rPr>
      <w:t xml:space="preserve"> </w:t>
    </w:r>
    <w:r w:rsidR="00EF4FA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Default="00EF4FA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072FE9">
      <w:rPr>
        <w:rFonts w:ascii="DaxCondensed" w:hAnsi="DaxCondensed" w:cs="Arial"/>
        <w:color w:val="386C71"/>
        <w:sz w:val="20"/>
        <w:szCs w:val="20"/>
      </w:rPr>
      <w:t xml:space="preserve">                    SÚMULA DA 185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3657"/>
    <w:rsid w:val="0002591B"/>
    <w:rsid w:val="00027E22"/>
    <w:rsid w:val="00032E48"/>
    <w:rsid w:val="00033090"/>
    <w:rsid w:val="00033161"/>
    <w:rsid w:val="00035612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FE9"/>
    <w:rsid w:val="000758B4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B3C18"/>
    <w:rsid w:val="000C12D1"/>
    <w:rsid w:val="000C1A24"/>
    <w:rsid w:val="000C3500"/>
    <w:rsid w:val="000C6E9E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9D"/>
    <w:rsid w:val="00102518"/>
    <w:rsid w:val="0010374D"/>
    <w:rsid w:val="0010398F"/>
    <w:rsid w:val="00106415"/>
    <w:rsid w:val="0010650D"/>
    <w:rsid w:val="001100C5"/>
    <w:rsid w:val="001165F1"/>
    <w:rsid w:val="00117EDD"/>
    <w:rsid w:val="00124A49"/>
    <w:rsid w:val="0013310E"/>
    <w:rsid w:val="00133AD2"/>
    <w:rsid w:val="0013657D"/>
    <w:rsid w:val="0014163B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3A05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D2087"/>
    <w:rsid w:val="001D420A"/>
    <w:rsid w:val="001D58D6"/>
    <w:rsid w:val="001D5DB4"/>
    <w:rsid w:val="001D79E8"/>
    <w:rsid w:val="001E003E"/>
    <w:rsid w:val="001E4AA0"/>
    <w:rsid w:val="001E56D2"/>
    <w:rsid w:val="001E7A51"/>
    <w:rsid w:val="001F0FBE"/>
    <w:rsid w:val="001F23C3"/>
    <w:rsid w:val="001F61E5"/>
    <w:rsid w:val="00200BB5"/>
    <w:rsid w:val="002014D2"/>
    <w:rsid w:val="00201B2E"/>
    <w:rsid w:val="00205EEA"/>
    <w:rsid w:val="00211126"/>
    <w:rsid w:val="00220A16"/>
    <w:rsid w:val="002257E5"/>
    <w:rsid w:val="002312AC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55CEE"/>
    <w:rsid w:val="00260BFB"/>
    <w:rsid w:val="0026251E"/>
    <w:rsid w:val="00262674"/>
    <w:rsid w:val="002668C3"/>
    <w:rsid w:val="00271FB2"/>
    <w:rsid w:val="00273719"/>
    <w:rsid w:val="00273CA3"/>
    <w:rsid w:val="00274FF9"/>
    <w:rsid w:val="00275227"/>
    <w:rsid w:val="00276BD0"/>
    <w:rsid w:val="00280F33"/>
    <w:rsid w:val="00282648"/>
    <w:rsid w:val="00283058"/>
    <w:rsid w:val="00283F8D"/>
    <w:rsid w:val="00285A83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55D2"/>
    <w:rsid w:val="002B5C78"/>
    <w:rsid w:val="002B7C06"/>
    <w:rsid w:val="002C5E16"/>
    <w:rsid w:val="002C747C"/>
    <w:rsid w:val="002D0B51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391E"/>
    <w:rsid w:val="002F6B55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31D31"/>
    <w:rsid w:val="00331ECA"/>
    <w:rsid w:val="00340E91"/>
    <w:rsid w:val="003411BA"/>
    <w:rsid w:val="0034545A"/>
    <w:rsid w:val="00347324"/>
    <w:rsid w:val="00350F18"/>
    <w:rsid w:val="003545C3"/>
    <w:rsid w:val="003557D1"/>
    <w:rsid w:val="00360A08"/>
    <w:rsid w:val="003632A9"/>
    <w:rsid w:val="003637C1"/>
    <w:rsid w:val="00367DAC"/>
    <w:rsid w:val="00372A96"/>
    <w:rsid w:val="003751ED"/>
    <w:rsid w:val="00380761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B075A"/>
    <w:rsid w:val="003B12EB"/>
    <w:rsid w:val="003B1A87"/>
    <w:rsid w:val="003B4E9A"/>
    <w:rsid w:val="003B5E00"/>
    <w:rsid w:val="003C0EC3"/>
    <w:rsid w:val="003C3C3A"/>
    <w:rsid w:val="003C3E49"/>
    <w:rsid w:val="003C484E"/>
    <w:rsid w:val="003C6153"/>
    <w:rsid w:val="003D04A7"/>
    <w:rsid w:val="003D3832"/>
    <w:rsid w:val="003E3ADB"/>
    <w:rsid w:val="003E54E7"/>
    <w:rsid w:val="003E7E6D"/>
    <w:rsid w:val="003F1946"/>
    <w:rsid w:val="003F27C7"/>
    <w:rsid w:val="003F3F75"/>
    <w:rsid w:val="003F4FF1"/>
    <w:rsid w:val="003F5088"/>
    <w:rsid w:val="003F799E"/>
    <w:rsid w:val="003F7ADA"/>
    <w:rsid w:val="004020A6"/>
    <w:rsid w:val="00403A0D"/>
    <w:rsid w:val="00410566"/>
    <w:rsid w:val="004123FC"/>
    <w:rsid w:val="00414895"/>
    <w:rsid w:val="004168EE"/>
    <w:rsid w:val="0041738E"/>
    <w:rsid w:val="00424627"/>
    <w:rsid w:val="0042720C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61E60"/>
    <w:rsid w:val="00467012"/>
    <w:rsid w:val="00467BB6"/>
    <w:rsid w:val="004700A2"/>
    <w:rsid w:val="00471056"/>
    <w:rsid w:val="00472D55"/>
    <w:rsid w:val="004753B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D043F"/>
    <w:rsid w:val="004D1182"/>
    <w:rsid w:val="004D23E8"/>
    <w:rsid w:val="004D4FA8"/>
    <w:rsid w:val="004D75DA"/>
    <w:rsid w:val="004D7C89"/>
    <w:rsid w:val="004E062B"/>
    <w:rsid w:val="004E1CA3"/>
    <w:rsid w:val="004E4970"/>
    <w:rsid w:val="004E5B15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2983"/>
    <w:rsid w:val="005045C1"/>
    <w:rsid w:val="005054AE"/>
    <w:rsid w:val="005069A3"/>
    <w:rsid w:val="00506BFB"/>
    <w:rsid w:val="00511CCB"/>
    <w:rsid w:val="00512C31"/>
    <w:rsid w:val="005149C2"/>
    <w:rsid w:val="0051734D"/>
    <w:rsid w:val="00517776"/>
    <w:rsid w:val="00522240"/>
    <w:rsid w:val="00525059"/>
    <w:rsid w:val="00526576"/>
    <w:rsid w:val="00526DED"/>
    <w:rsid w:val="00530E32"/>
    <w:rsid w:val="0053240A"/>
    <w:rsid w:val="00532B64"/>
    <w:rsid w:val="0053748C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833"/>
    <w:rsid w:val="005B7E7D"/>
    <w:rsid w:val="005C652C"/>
    <w:rsid w:val="005D2428"/>
    <w:rsid w:val="005D2FBE"/>
    <w:rsid w:val="005D3D88"/>
    <w:rsid w:val="005D4125"/>
    <w:rsid w:val="005D481E"/>
    <w:rsid w:val="005D527F"/>
    <w:rsid w:val="005D52D1"/>
    <w:rsid w:val="005D6C47"/>
    <w:rsid w:val="005D7CD9"/>
    <w:rsid w:val="005E2D9F"/>
    <w:rsid w:val="005F47AD"/>
    <w:rsid w:val="005F47CB"/>
    <w:rsid w:val="005F51AE"/>
    <w:rsid w:val="005F6D36"/>
    <w:rsid w:val="005F6D57"/>
    <w:rsid w:val="005F77D0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2B14"/>
    <w:rsid w:val="00623E12"/>
    <w:rsid w:val="00631376"/>
    <w:rsid w:val="006326C4"/>
    <w:rsid w:val="0063271D"/>
    <w:rsid w:val="00633BEB"/>
    <w:rsid w:val="006340C8"/>
    <w:rsid w:val="00637577"/>
    <w:rsid w:val="00641192"/>
    <w:rsid w:val="00642F77"/>
    <w:rsid w:val="00646AB6"/>
    <w:rsid w:val="0065137A"/>
    <w:rsid w:val="00654F1E"/>
    <w:rsid w:val="00660528"/>
    <w:rsid w:val="00661135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1548"/>
    <w:rsid w:val="006824D1"/>
    <w:rsid w:val="0068363C"/>
    <w:rsid w:val="00685CBE"/>
    <w:rsid w:val="00686042"/>
    <w:rsid w:val="00690C35"/>
    <w:rsid w:val="0069229F"/>
    <w:rsid w:val="006929F1"/>
    <w:rsid w:val="00695473"/>
    <w:rsid w:val="006969A7"/>
    <w:rsid w:val="006A1CA9"/>
    <w:rsid w:val="006A2382"/>
    <w:rsid w:val="006A5483"/>
    <w:rsid w:val="006A56AD"/>
    <w:rsid w:val="006B0776"/>
    <w:rsid w:val="006B1AF3"/>
    <w:rsid w:val="006B2DF1"/>
    <w:rsid w:val="006B4AC9"/>
    <w:rsid w:val="006B62C4"/>
    <w:rsid w:val="006B670F"/>
    <w:rsid w:val="006C75E7"/>
    <w:rsid w:val="006C7D8F"/>
    <w:rsid w:val="006D2981"/>
    <w:rsid w:val="006D3CEE"/>
    <w:rsid w:val="006D4CD2"/>
    <w:rsid w:val="006D591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07C18"/>
    <w:rsid w:val="0071382D"/>
    <w:rsid w:val="00716A05"/>
    <w:rsid w:val="00720D19"/>
    <w:rsid w:val="007228A4"/>
    <w:rsid w:val="00724272"/>
    <w:rsid w:val="00725CAD"/>
    <w:rsid w:val="007262DC"/>
    <w:rsid w:val="00731BBD"/>
    <w:rsid w:val="0073236B"/>
    <w:rsid w:val="00733923"/>
    <w:rsid w:val="0073561D"/>
    <w:rsid w:val="007375FB"/>
    <w:rsid w:val="00740E14"/>
    <w:rsid w:val="0075194D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5DB0"/>
    <w:rsid w:val="00776B7B"/>
    <w:rsid w:val="007820AC"/>
    <w:rsid w:val="00791783"/>
    <w:rsid w:val="007923B2"/>
    <w:rsid w:val="0079286C"/>
    <w:rsid w:val="00794D87"/>
    <w:rsid w:val="00796E02"/>
    <w:rsid w:val="007A63B7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2A09"/>
    <w:rsid w:val="007D4ECD"/>
    <w:rsid w:val="007D5A1D"/>
    <w:rsid w:val="007E2875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4A7B"/>
    <w:rsid w:val="00805FC1"/>
    <w:rsid w:val="0081283D"/>
    <w:rsid w:val="00814490"/>
    <w:rsid w:val="008151A8"/>
    <w:rsid w:val="008207C2"/>
    <w:rsid w:val="00823AF7"/>
    <w:rsid w:val="00825A0E"/>
    <w:rsid w:val="00834A5C"/>
    <w:rsid w:val="0083595F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CFD"/>
    <w:rsid w:val="00855F16"/>
    <w:rsid w:val="00856A1F"/>
    <w:rsid w:val="00856C1D"/>
    <w:rsid w:val="0085767E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62B3"/>
    <w:rsid w:val="008D02FD"/>
    <w:rsid w:val="008D34EF"/>
    <w:rsid w:val="008D4752"/>
    <w:rsid w:val="008D557C"/>
    <w:rsid w:val="008E0688"/>
    <w:rsid w:val="008E1728"/>
    <w:rsid w:val="008E1823"/>
    <w:rsid w:val="008E33DC"/>
    <w:rsid w:val="008E3A86"/>
    <w:rsid w:val="008E74F5"/>
    <w:rsid w:val="008F06CC"/>
    <w:rsid w:val="008F159C"/>
    <w:rsid w:val="008F5CB3"/>
    <w:rsid w:val="00906750"/>
    <w:rsid w:val="009141F2"/>
    <w:rsid w:val="00917A6E"/>
    <w:rsid w:val="00922254"/>
    <w:rsid w:val="00922F68"/>
    <w:rsid w:val="009269BD"/>
    <w:rsid w:val="00930D3C"/>
    <w:rsid w:val="0093154B"/>
    <w:rsid w:val="009347B2"/>
    <w:rsid w:val="0093520D"/>
    <w:rsid w:val="00940084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3C10"/>
    <w:rsid w:val="009A48D2"/>
    <w:rsid w:val="009A6918"/>
    <w:rsid w:val="009B10E7"/>
    <w:rsid w:val="009B3166"/>
    <w:rsid w:val="009B40C9"/>
    <w:rsid w:val="009B5DB8"/>
    <w:rsid w:val="009C32AC"/>
    <w:rsid w:val="009C581F"/>
    <w:rsid w:val="009C61B6"/>
    <w:rsid w:val="009D0739"/>
    <w:rsid w:val="009D0886"/>
    <w:rsid w:val="009D4A8D"/>
    <w:rsid w:val="009D567C"/>
    <w:rsid w:val="009E3C4D"/>
    <w:rsid w:val="009E4828"/>
    <w:rsid w:val="009E4EFD"/>
    <w:rsid w:val="009E664D"/>
    <w:rsid w:val="009F154A"/>
    <w:rsid w:val="009F2CCE"/>
    <w:rsid w:val="009F6878"/>
    <w:rsid w:val="00A01A2A"/>
    <w:rsid w:val="00A04BEE"/>
    <w:rsid w:val="00A050DB"/>
    <w:rsid w:val="00A12579"/>
    <w:rsid w:val="00A125EA"/>
    <w:rsid w:val="00A1513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6BD"/>
    <w:rsid w:val="00A756DD"/>
    <w:rsid w:val="00A779BC"/>
    <w:rsid w:val="00A80C65"/>
    <w:rsid w:val="00A83107"/>
    <w:rsid w:val="00A84DD8"/>
    <w:rsid w:val="00A872F0"/>
    <w:rsid w:val="00A92103"/>
    <w:rsid w:val="00A93AAB"/>
    <w:rsid w:val="00A93DC7"/>
    <w:rsid w:val="00A958FE"/>
    <w:rsid w:val="00AA4CEB"/>
    <w:rsid w:val="00AB1FA9"/>
    <w:rsid w:val="00AB2A69"/>
    <w:rsid w:val="00AC0F80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4780"/>
    <w:rsid w:val="00AF5FB3"/>
    <w:rsid w:val="00AF6F28"/>
    <w:rsid w:val="00B01A0A"/>
    <w:rsid w:val="00B02BFA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B9F"/>
    <w:rsid w:val="00B42D31"/>
    <w:rsid w:val="00B45951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81197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529B"/>
    <w:rsid w:val="00BE5FA3"/>
    <w:rsid w:val="00BF198B"/>
    <w:rsid w:val="00BF373A"/>
    <w:rsid w:val="00BF4680"/>
    <w:rsid w:val="00C038EA"/>
    <w:rsid w:val="00C050CD"/>
    <w:rsid w:val="00C05657"/>
    <w:rsid w:val="00C05F5C"/>
    <w:rsid w:val="00C065AC"/>
    <w:rsid w:val="00C06B17"/>
    <w:rsid w:val="00C13B3B"/>
    <w:rsid w:val="00C15B9D"/>
    <w:rsid w:val="00C1638E"/>
    <w:rsid w:val="00C20B7E"/>
    <w:rsid w:val="00C21EA8"/>
    <w:rsid w:val="00C239C6"/>
    <w:rsid w:val="00C301CA"/>
    <w:rsid w:val="00C30423"/>
    <w:rsid w:val="00C33E0D"/>
    <w:rsid w:val="00C3665F"/>
    <w:rsid w:val="00C37B13"/>
    <w:rsid w:val="00C42021"/>
    <w:rsid w:val="00C42605"/>
    <w:rsid w:val="00C4517A"/>
    <w:rsid w:val="00C45812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7264"/>
    <w:rsid w:val="00C976C7"/>
    <w:rsid w:val="00CA6593"/>
    <w:rsid w:val="00CA677B"/>
    <w:rsid w:val="00CA7786"/>
    <w:rsid w:val="00CB0EAE"/>
    <w:rsid w:val="00CB6FD3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D01426"/>
    <w:rsid w:val="00D02A38"/>
    <w:rsid w:val="00D057E2"/>
    <w:rsid w:val="00D06816"/>
    <w:rsid w:val="00D160D0"/>
    <w:rsid w:val="00D174E3"/>
    <w:rsid w:val="00D213CD"/>
    <w:rsid w:val="00D22795"/>
    <w:rsid w:val="00D23A5E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5A8D"/>
    <w:rsid w:val="00D574B0"/>
    <w:rsid w:val="00D62C61"/>
    <w:rsid w:val="00D62ED7"/>
    <w:rsid w:val="00D67B4E"/>
    <w:rsid w:val="00D71437"/>
    <w:rsid w:val="00D75736"/>
    <w:rsid w:val="00D775E3"/>
    <w:rsid w:val="00D802D9"/>
    <w:rsid w:val="00D822C9"/>
    <w:rsid w:val="00D83074"/>
    <w:rsid w:val="00D8349F"/>
    <w:rsid w:val="00D874E4"/>
    <w:rsid w:val="00D9535A"/>
    <w:rsid w:val="00D9665D"/>
    <w:rsid w:val="00DA3211"/>
    <w:rsid w:val="00DA4EC2"/>
    <w:rsid w:val="00DB159E"/>
    <w:rsid w:val="00DB292D"/>
    <w:rsid w:val="00DB4045"/>
    <w:rsid w:val="00DB6C2E"/>
    <w:rsid w:val="00DB78C3"/>
    <w:rsid w:val="00DC0965"/>
    <w:rsid w:val="00DC5C63"/>
    <w:rsid w:val="00DC7095"/>
    <w:rsid w:val="00DC75B3"/>
    <w:rsid w:val="00DD0628"/>
    <w:rsid w:val="00DD09A6"/>
    <w:rsid w:val="00DD16FB"/>
    <w:rsid w:val="00DD5EDE"/>
    <w:rsid w:val="00DE1234"/>
    <w:rsid w:val="00DE67B2"/>
    <w:rsid w:val="00DF20B7"/>
    <w:rsid w:val="00DF2596"/>
    <w:rsid w:val="00DF2B5B"/>
    <w:rsid w:val="00DF575D"/>
    <w:rsid w:val="00DF7383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618"/>
    <w:rsid w:val="00E47A74"/>
    <w:rsid w:val="00E514F0"/>
    <w:rsid w:val="00E51B82"/>
    <w:rsid w:val="00E57583"/>
    <w:rsid w:val="00E638D2"/>
    <w:rsid w:val="00E660DC"/>
    <w:rsid w:val="00E662FF"/>
    <w:rsid w:val="00E663BC"/>
    <w:rsid w:val="00E66510"/>
    <w:rsid w:val="00E723BC"/>
    <w:rsid w:val="00E736FD"/>
    <w:rsid w:val="00E778E1"/>
    <w:rsid w:val="00E87EAC"/>
    <w:rsid w:val="00E92C14"/>
    <w:rsid w:val="00E9324D"/>
    <w:rsid w:val="00E94221"/>
    <w:rsid w:val="00E9487F"/>
    <w:rsid w:val="00E95D8C"/>
    <w:rsid w:val="00EA593B"/>
    <w:rsid w:val="00EB1609"/>
    <w:rsid w:val="00EB1D18"/>
    <w:rsid w:val="00EB4AC7"/>
    <w:rsid w:val="00EB4B94"/>
    <w:rsid w:val="00EC4D33"/>
    <w:rsid w:val="00EC58EA"/>
    <w:rsid w:val="00EC6028"/>
    <w:rsid w:val="00ED2108"/>
    <w:rsid w:val="00ED5E45"/>
    <w:rsid w:val="00ED6C95"/>
    <w:rsid w:val="00EE2B4C"/>
    <w:rsid w:val="00EE58D3"/>
    <w:rsid w:val="00EE6DD1"/>
    <w:rsid w:val="00EF0765"/>
    <w:rsid w:val="00EF2E4F"/>
    <w:rsid w:val="00EF3267"/>
    <w:rsid w:val="00EF4594"/>
    <w:rsid w:val="00EF4FA7"/>
    <w:rsid w:val="00EF59FC"/>
    <w:rsid w:val="00F00BA3"/>
    <w:rsid w:val="00F02018"/>
    <w:rsid w:val="00F02096"/>
    <w:rsid w:val="00F106E3"/>
    <w:rsid w:val="00F11D97"/>
    <w:rsid w:val="00F17DB5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5859"/>
    <w:rsid w:val="00F76763"/>
    <w:rsid w:val="00F76B0B"/>
    <w:rsid w:val="00F820AC"/>
    <w:rsid w:val="00F821CA"/>
    <w:rsid w:val="00F84F8C"/>
    <w:rsid w:val="00F957AF"/>
    <w:rsid w:val="00F97F8D"/>
    <w:rsid w:val="00FA778A"/>
    <w:rsid w:val="00FA7EF9"/>
    <w:rsid w:val="00FB0BFD"/>
    <w:rsid w:val="00FB36B4"/>
    <w:rsid w:val="00FB372F"/>
    <w:rsid w:val="00FB7448"/>
    <w:rsid w:val="00FC05AC"/>
    <w:rsid w:val="00FC64DC"/>
    <w:rsid w:val="00FC6A2F"/>
    <w:rsid w:val="00FC73FB"/>
    <w:rsid w:val="00FD1619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D4D2-BDB2-471B-B4FF-18945E23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1156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27</cp:revision>
  <cp:lastPrinted>2020-02-05T19:47:00Z</cp:lastPrinted>
  <dcterms:created xsi:type="dcterms:W3CDTF">2020-07-08T18:42:00Z</dcterms:created>
  <dcterms:modified xsi:type="dcterms:W3CDTF">2020-10-07T14:41:00Z</dcterms:modified>
</cp:coreProperties>
</file>