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62071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62071" w:rsidRDefault="00AF1451" w:rsidP="002A32A5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S</w:t>
            </w:r>
            <w:r w:rsidR="008E33DC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ÚMULA DA </w:t>
            </w:r>
            <w:r w:rsidR="001D58D6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16</w:t>
            </w:r>
            <w:r w:rsidR="002A32A5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1</w:t>
            </w:r>
            <w:r w:rsidR="00E638D2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ª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REUNIÃO ORDINÁRIA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CONSELHO DIRETOR </w:t>
            </w:r>
            <w:r w:rsidR="00F60321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–</w:t>
            </w:r>
            <w:r w:rsidR="005054AE"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 xml:space="preserve"> </w:t>
            </w:r>
            <w:r w:rsidRPr="00C62071">
              <w:rPr>
                <w:rFonts w:ascii="Times New Roman" w:hAnsi="Times New Roman"/>
                <w:b/>
                <w:bCs/>
                <w:smallCaps/>
                <w:kern w:val="32"/>
                <w:sz w:val="20"/>
                <w:szCs w:val="20"/>
              </w:rPr>
              <w:t>CAU/RS</w:t>
            </w:r>
          </w:p>
        </w:tc>
      </w:tr>
    </w:tbl>
    <w:p w:rsidR="007E57BA" w:rsidRPr="00C62071" w:rsidRDefault="007E57BA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01"/>
        <w:gridCol w:w="884"/>
        <w:gridCol w:w="1100"/>
        <w:gridCol w:w="2444"/>
      </w:tblGrid>
      <w:tr w:rsidR="00C13B3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13B3B" w:rsidRPr="00C62071" w:rsidRDefault="002A32A5" w:rsidP="00DB292D">
            <w:pPr>
              <w:rPr>
                <w:rFonts w:ascii="Times New Roman" w:eastAsia="MS Mincho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12 de junho</w:t>
            </w:r>
            <w:r w:rsidR="00DB292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C13B3B" w:rsidRPr="00C62071">
              <w:rPr>
                <w:rFonts w:ascii="Times New Roman" w:eastAsia="MS Mincho" w:hAnsi="Times New Roman"/>
                <w:sz w:val="20"/>
                <w:szCs w:val="20"/>
              </w:rPr>
              <w:t>de 2019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14 às 17 horas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229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 Rio Branco, Porto Alegre/RS)</w:t>
            </w:r>
          </w:p>
        </w:tc>
      </w:tr>
      <w:tr w:rsidR="00C13B3B" w:rsidRPr="00C62071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mallCaps/>
                <w:sz w:val="20"/>
                <w:szCs w:val="20"/>
              </w:rPr>
              <w:t>PARTICIPANTES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Presidente do 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1D58D6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Oritz Adriano Adams de Campos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1D58D6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CEP-CAU/RS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Cláudio Fischer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Paulo Fernando do Amaral Fontana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C842FC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C62071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Rômulo Plentz Giralt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C62071" w:rsidRDefault="00C842FC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CPFI-CAU/RS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  <w:r w:rsidRPr="00C62071"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  <w:t>Assessoria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Josiane Bernardi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Secretária Geral da Mesa</w:t>
            </w:r>
          </w:p>
        </w:tc>
      </w:tr>
      <w:tr w:rsidR="00C13B3B" w:rsidRPr="00C62071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13B3B" w:rsidRPr="00C62071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Tales Völker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C62071" w:rsidRDefault="00C13B3B" w:rsidP="00C13B3B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Gerente Geral</w:t>
            </w:r>
          </w:p>
        </w:tc>
      </w:tr>
    </w:tbl>
    <w:p w:rsidR="00AF1451" w:rsidRPr="00C6207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62071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AF1451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62071" w:rsidRDefault="00681548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62071" w:rsidRDefault="00B12E15" w:rsidP="002A32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Q</w:t>
            </w:r>
            <w:r w:rsidR="00CD4444" w:rsidRPr="00C62071">
              <w:rPr>
                <w:rFonts w:ascii="Times New Roman" w:hAnsi="Times New Roman"/>
                <w:sz w:val="20"/>
                <w:szCs w:val="20"/>
              </w:rPr>
              <w:t xml:space="preserve">uórum </w:t>
            </w:r>
            <w:r w:rsidR="002E6EE5" w:rsidRPr="00C62071">
              <w:rPr>
                <w:rFonts w:ascii="Times New Roman" w:hAnsi="Times New Roman"/>
                <w:sz w:val="20"/>
                <w:szCs w:val="20"/>
              </w:rPr>
              <w:t xml:space="preserve">para início </w:t>
            </w:r>
            <w:r w:rsidR="00D574B0" w:rsidRPr="00C62071">
              <w:rPr>
                <w:rFonts w:ascii="Times New Roman" w:hAnsi="Times New Roman"/>
                <w:sz w:val="20"/>
                <w:szCs w:val="20"/>
              </w:rPr>
              <w:t xml:space="preserve">às 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>14h</w:t>
            </w:r>
            <w:r w:rsidR="002A32A5">
              <w:rPr>
                <w:rFonts w:ascii="Times New Roman" w:hAnsi="Times New Roman"/>
                <w:sz w:val="20"/>
                <w:szCs w:val="20"/>
              </w:rPr>
              <w:t>00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. Registra-se a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ausência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do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Conselheiro</w:t>
            </w:r>
            <w:r w:rsidR="002A32A5">
              <w:rPr>
                <w:rFonts w:ascii="Times New Roman" w:hAnsi="Times New Roman"/>
                <w:sz w:val="20"/>
                <w:szCs w:val="20"/>
              </w:rPr>
              <w:t>s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 Rui Mineiro</w:t>
            </w:r>
            <w:r w:rsidR="002A32A5">
              <w:rPr>
                <w:rFonts w:ascii="Times New Roman" w:hAnsi="Times New Roman"/>
                <w:sz w:val="20"/>
                <w:szCs w:val="20"/>
              </w:rPr>
              <w:t xml:space="preserve"> e Vinicius Vieira de Souza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:rsidR="00397661" w:rsidRPr="00C62071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62071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62071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Apresentação da pauta e extra</w:t>
            </w:r>
            <w:r w:rsidR="00DB292D"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-</w:t>
            </w:r>
            <w:r w:rsidRPr="00C62071">
              <w:rPr>
                <w:rFonts w:ascii="Times New Roman" w:eastAsia="MS Mincho" w:hAnsi="Times New Roman"/>
                <w:b/>
                <w:sz w:val="20"/>
                <w:szCs w:val="20"/>
              </w:rPr>
              <w:t>pauta</w:t>
            </w:r>
          </w:p>
        </w:tc>
      </w:tr>
      <w:tr w:rsidR="00506BFB" w:rsidRPr="00C62071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62071" w:rsidRDefault="00C13B3B" w:rsidP="00EB160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62071" w:rsidRDefault="007F0D7E" w:rsidP="001D58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eastAsia="MS Mincho" w:hAnsi="Times New Roman"/>
                <w:sz w:val="20"/>
                <w:szCs w:val="20"/>
              </w:rPr>
              <w:t>A pauta proposta é aprovada por todos</w:t>
            </w:r>
            <w:r w:rsidR="00770C9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, com a inclusão de </w:t>
            </w:r>
            <w:r w:rsidR="001D58D6" w:rsidRPr="00C62071">
              <w:rPr>
                <w:rFonts w:ascii="Times New Roman" w:eastAsia="MS Mincho" w:hAnsi="Times New Roman"/>
                <w:sz w:val="20"/>
                <w:szCs w:val="20"/>
              </w:rPr>
              <w:t>item referente a proposta de alteração parcial do organograma do CAU/RS, conforme solicitação do presidente Tiago Holzmann da Silva</w:t>
            </w:r>
            <w:r w:rsidR="00770C9D" w:rsidRPr="00C62071">
              <w:rPr>
                <w:rFonts w:ascii="Times New Roman" w:eastAsia="MS Mincho" w:hAnsi="Times New Roman"/>
                <w:sz w:val="20"/>
                <w:szCs w:val="20"/>
              </w:rPr>
              <w:t xml:space="preserve">. </w:t>
            </w:r>
          </w:p>
        </w:tc>
      </w:tr>
    </w:tbl>
    <w:p w:rsidR="00C05F5C" w:rsidRPr="00C62071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C62071" w:rsidTr="00DB292D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F60321" w:rsidRPr="00C62071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F60321" w:rsidRPr="00C62071">
              <w:rPr>
                <w:rFonts w:ascii="Times New Roman" w:hAnsi="Times New Roman"/>
                <w:b/>
                <w:sz w:val="20"/>
                <w:szCs w:val="20"/>
              </w:rPr>
              <w:t>rdem do dia</w:t>
            </w:r>
          </w:p>
        </w:tc>
      </w:tr>
      <w:tr w:rsidR="0014492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44928" w:rsidRPr="00C62071" w:rsidRDefault="00144928" w:rsidP="0014492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144928" w:rsidRPr="00C62071" w:rsidRDefault="002A32A5" w:rsidP="0014492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56B">
              <w:rPr>
                <w:rFonts w:ascii="Times New Roman" w:hAnsi="Times New Roman"/>
                <w:b/>
                <w:sz w:val="22"/>
                <w:szCs w:val="22"/>
              </w:rPr>
              <w:t>Alteração parcial do organograma - Ad Referendum 006/2019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C62071" w:rsidRDefault="00823AF7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78C3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C62071" w:rsidRDefault="00DB78C3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304E68" w:rsidRPr="00C62071" w:rsidRDefault="002A32A5" w:rsidP="002A32A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Presidente TIAGO HOLZMANN DA SILVA informa que se trata de alteração da unidade de eventos da Gerência de Comunicação para a Secretaria Geral da Mesa.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4C48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F4C48" w:rsidRPr="00C62071" w:rsidRDefault="004F4C48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vAlign w:val="center"/>
          </w:tcPr>
          <w:p w:rsidR="004F4C48" w:rsidRPr="00C62071" w:rsidRDefault="002A32A5" w:rsidP="004F4C48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56B">
              <w:rPr>
                <w:rFonts w:ascii="Times New Roman" w:hAnsi="Times New Roman"/>
                <w:b/>
                <w:sz w:val="22"/>
                <w:szCs w:val="22"/>
              </w:rPr>
              <w:t>Reprogramação orçamentaria - Ad Referendum 005/2019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FC05AC" w:rsidRPr="00C62071" w:rsidRDefault="002A32A5" w:rsidP="002A32A5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Presidente TIAGO HOLZMANN DA SILVA comenta que se trata da aprovação, tendo em vista a ausência de quórum na plenária passada.</w:t>
            </w:r>
            <w:r w:rsidR="001D58D6" w:rsidRPr="00C62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2A32A5" w:rsidP="007F0D7E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56B">
              <w:rPr>
                <w:rFonts w:ascii="Times New Roman" w:hAnsi="Times New Roman"/>
                <w:b/>
                <w:sz w:val="22"/>
                <w:szCs w:val="22"/>
              </w:rPr>
              <w:t>Aplicativo MobiArq</w:t>
            </w:r>
          </w:p>
        </w:tc>
      </w:tr>
      <w:tr w:rsidR="007F0D7E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C62071" w:rsidRDefault="007F0D7E" w:rsidP="007F0D7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C62071" w:rsidRDefault="007F0D7E" w:rsidP="007F0D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823AF7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C62071" w:rsidRDefault="00823AF7" w:rsidP="00823AF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C62071" w:rsidRDefault="00823AF7" w:rsidP="00823AF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FC05AC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C62071" w:rsidRDefault="00FC05AC" w:rsidP="00032E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370C3" w:rsidRPr="00C62071" w:rsidRDefault="00C239C6" w:rsidP="002A32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</w:t>
            </w:r>
            <w:r w:rsidR="002A32A5">
              <w:rPr>
                <w:rFonts w:ascii="Times New Roman" w:hAnsi="Times New Roman"/>
                <w:sz w:val="20"/>
                <w:szCs w:val="20"/>
              </w:rPr>
              <w:t xml:space="preserve">ORITZ ADRIANO ADAMS DE CAMPOS relata que há a necessidade de contribuição e colaboração dos profissionais arquitetos e urbanistas, oportunizando uma plataforma para encaminhamentos de denúncias, sugestões, dentre outros assuntos. </w:t>
            </w:r>
            <w:r w:rsidR="0063271D">
              <w:rPr>
                <w:rFonts w:ascii="Times New Roman" w:hAnsi="Times New Roman"/>
                <w:sz w:val="20"/>
                <w:szCs w:val="20"/>
              </w:rPr>
              <w:t>O tema será melhor desenvolvido pela Comissão de Exercício Profissional, junto à assessoria.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63271D" w:rsidP="00AE39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56B">
              <w:rPr>
                <w:rFonts w:ascii="Times New Roman" w:hAnsi="Times New Roman"/>
                <w:b/>
                <w:sz w:val="22"/>
                <w:szCs w:val="22"/>
              </w:rPr>
              <w:t>Calendário Geral de Eventos do CAU/RS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292D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262674" w:rsidP="006327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63271D">
              <w:rPr>
                <w:rFonts w:ascii="Times New Roman" w:hAnsi="Times New Roman"/>
                <w:sz w:val="20"/>
                <w:szCs w:val="20"/>
              </w:rPr>
              <w:t xml:space="preserve">informa da intenção de construção de um calendário único de eventos, visando a melhor organização dos mesmos. Comenta que o trabalho de mapeamento dos eventos será iniciado ainda neste mês e solicita a colaboração de todos. 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63271D" w:rsidP="00AC16C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56B">
              <w:rPr>
                <w:rFonts w:ascii="Times New Roman" w:hAnsi="Times New Roman"/>
                <w:b/>
                <w:sz w:val="22"/>
                <w:szCs w:val="22"/>
              </w:rPr>
              <w:t>CBA: desenvolvimento da proposta aprovada em plenário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C16C5" w:rsidP="00AC16C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AC16C5" w:rsidRPr="00C62071" w:rsidTr="00DB29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C62071" w:rsidRDefault="00AC16C5" w:rsidP="00AC16C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C62071" w:rsidRDefault="00AE39B0" w:rsidP="00472D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63271D">
              <w:rPr>
                <w:rFonts w:ascii="Times New Roman" w:hAnsi="Times New Roman"/>
                <w:sz w:val="20"/>
                <w:szCs w:val="20"/>
              </w:rPr>
              <w:t xml:space="preserve">informa acerca de reunião realizada com o IAB RS e a responsável </w:t>
            </w:r>
            <w:r w:rsidR="008E1823">
              <w:rPr>
                <w:rFonts w:ascii="Times New Roman" w:hAnsi="Times New Roman"/>
                <w:sz w:val="20"/>
                <w:szCs w:val="20"/>
              </w:rPr>
              <w:t xml:space="preserve">da empresa </w:t>
            </w:r>
            <w:r w:rsidR="0063271D">
              <w:rPr>
                <w:rFonts w:ascii="Times New Roman" w:hAnsi="Times New Roman"/>
                <w:sz w:val="20"/>
                <w:szCs w:val="20"/>
              </w:rPr>
              <w:t xml:space="preserve">CUCO Produções </w:t>
            </w:r>
            <w:r w:rsidR="008E1823">
              <w:rPr>
                <w:rFonts w:ascii="Times New Roman" w:hAnsi="Times New Roman"/>
                <w:sz w:val="20"/>
                <w:szCs w:val="20"/>
              </w:rPr>
              <w:t xml:space="preserve">que está atuando na </w:t>
            </w:r>
            <w:r w:rsidR="0063271D">
              <w:rPr>
                <w:rFonts w:ascii="Times New Roman" w:hAnsi="Times New Roman"/>
                <w:sz w:val="20"/>
                <w:szCs w:val="20"/>
              </w:rPr>
              <w:t>organização do evento</w:t>
            </w:r>
            <w:r w:rsidR="000F0000">
              <w:rPr>
                <w:rFonts w:ascii="Times New Roman" w:hAnsi="Times New Roman"/>
                <w:sz w:val="20"/>
                <w:szCs w:val="20"/>
              </w:rPr>
              <w:t>, com a finalidade de repassar e procurar definir as questões relacionadas as demandas do plenário, quanto a co-realização do CBA pelo CAU/RS. O aporte do CAU/RS, deverá ser de, no máximo, R$ 1 milhão, o que provavelmente não será atingido, com desconto linear de R$ 250,00 (duzentos e cinquenta reais) aos profissionais arquitetos e urbanistas quitados com o CAURS, que será concedido aos profissional, no momento da inscrição. O lote semanal de inscriç</w:t>
            </w:r>
            <w:r w:rsidR="00472D55">
              <w:rPr>
                <w:rFonts w:ascii="Times New Roman" w:hAnsi="Times New Roman"/>
                <w:sz w:val="20"/>
                <w:szCs w:val="20"/>
              </w:rPr>
              <w:t>ões realizadas, deverá ser encaminhado ao CAU/RS para validação quanto a quitação.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DB29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472D55" w:rsidP="00AE39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Formaturas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DB292D" w:rsidP="00AE39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</w:tr>
      <w:tr w:rsidR="00DB292D" w:rsidRPr="00C62071" w:rsidTr="00AE39B0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292D" w:rsidRPr="00C62071" w:rsidRDefault="00DB292D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292D" w:rsidRPr="00C62071" w:rsidRDefault="007262DC" w:rsidP="005720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 w:rsidR="00472D55">
              <w:rPr>
                <w:rFonts w:ascii="Times New Roman" w:hAnsi="Times New Roman"/>
                <w:sz w:val="20"/>
                <w:szCs w:val="20"/>
              </w:rPr>
              <w:t xml:space="preserve">informa que no próximo mês iniciam as solenidades de formaturas, para a qual está sendo providenciada a compra de lapiseiras, que serão entregues </w:t>
            </w:r>
            <w:r w:rsidR="0057202D">
              <w:rPr>
                <w:rFonts w:ascii="Times New Roman" w:hAnsi="Times New Roman"/>
                <w:sz w:val="20"/>
                <w:szCs w:val="20"/>
              </w:rPr>
              <w:t>aos egressos, em envelope personalizado, contendo orientações de registro e saudação do CAU/RS. Define-se que serão verificadas as possibilidade de entrega de cartão de identificação aos formandos, sem validade de carteira profissional, conforme ação realizada em anos anteriores.</w:t>
            </w:r>
          </w:p>
        </w:tc>
      </w:tr>
      <w:tr w:rsidR="0057202D" w:rsidRPr="00C62071" w:rsidTr="005720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202D" w:rsidRPr="0057202D" w:rsidRDefault="0057202D" w:rsidP="0057202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202D" w:rsidRPr="00C62071" w:rsidRDefault="0057202D" w:rsidP="00E85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Contratação de Consultoria: EAD</w:t>
            </w:r>
          </w:p>
        </w:tc>
      </w:tr>
      <w:tr w:rsidR="0057202D" w:rsidRPr="00C62071" w:rsidTr="005720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202D" w:rsidRPr="00C62071" w:rsidRDefault="0057202D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202D" w:rsidRPr="00C62071" w:rsidRDefault="0057202D" w:rsidP="005720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57202D" w:rsidRPr="00C62071" w:rsidTr="005720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202D" w:rsidRPr="00C62071" w:rsidRDefault="0057202D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202D" w:rsidRPr="00C62071" w:rsidRDefault="0057202D" w:rsidP="005720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02D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57202D" w:rsidRPr="00C62071" w:rsidTr="0057202D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7202D" w:rsidRPr="00C62071" w:rsidRDefault="0057202D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7202D" w:rsidRPr="00C62071" w:rsidRDefault="0057202D" w:rsidP="00D822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relata </w:t>
            </w:r>
            <w:r w:rsidR="002A0F84">
              <w:rPr>
                <w:rFonts w:ascii="Times New Roman" w:hAnsi="Times New Roman"/>
                <w:sz w:val="20"/>
                <w:szCs w:val="20"/>
              </w:rPr>
              <w:t>acerca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ações judiciais interpostas contra o CAU/RS,</w:t>
            </w:r>
            <w:r w:rsidR="002A0F84">
              <w:rPr>
                <w:rFonts w:ascii="Times New Roman" w:hAnsi="Times New Roman"/>
                <w:sz w:val="20"/>
                <w:szCs w:val="20"/>
              </w:rPr>
              <w:t xml:space="preserve"> as quais solicitam a anulação das </w:t>
            </w:r>
            <w:r>
              <w:rPr>
                <w:rFonts w:ascii="Times New Roman" w:hAnsi="Times New Roman"/>
                <w:sz w:val="20"/>
                <w:szCs w:val="20"/>
              </w:rPr>
              <w:t>deliberações contrárias ao ensino a dist</w:t>
            </w:r>
            <w:r w:rsidR="002A0F84">
              <w:rPr>
                <w:rFonts w:ascii="Times New Roman" w:hAnsi="Times New Roman"/>
                <w:sz w:val="20"/>
                <w:szCs w:val="20"/>
              </w:rPr>
              <w:t>ância, além da solicitação de que o CAU/RS não mais se manifeste sobre o tema, danos morais, dentre outras questões. Tendo em vista a delicadeza do tema, passar a existir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necessidade de contratação de profissional </w:t>
            </w:r>
            <w:r w:rsidR="002A0F84">
              <w:rPr>
                <w:rFonts w:ascii="Times New Roman" w:hAnsi="Times New Roman"/>
                <w:sz w:val="20"/>
                <w:szCs w:val="20"/>
              </w:rPr>
              <w:t xml:space="preserve">com conhecimento técnico sobre aulas EAD para os cursos de arquitetura e urbanismo. </w:t>
            </w:r>
            <w:r w:rsidR="00D822C9">
              <w:rPr>
                <w:rFonts w:ascii="Times New Roman" w:hAnsi="Times New Roman"/>
                <w:sz w:val="20"/>
                <w:szCs w:val="20"/>
              </w:rPr>
              <w:t xml:space="preserve">Define-se pelo encaminhamento de </w:t>
            </w:r>
            <w:r w:rsidR="002A0F84">
              <w:rPr>
                <w:rFonts w:ascii="Times New Roman" w:hAnsi="Times New Roman"/>
                <w:sz w:val="20"/>
                <w:szCs w:val="20"/>
              </w:rPr>
              <w:t>contratação de consultoria especializada</w:t>
            </w:r>
            <w:r w:rsidR="00D822C9">
              <w:rPr>
                <w:rFonts w:ascii="Times New Roman" w:hAnsi="Times New Roman"/>
                <w:sz w:val="20"/>
                <w:szCs w:val="20"/>
              </w:rPr>
              <w:t xml:space="preserve">, para auxiliar na defesa. Também devem ser buscados contatos e parcerias com outros Conselhos. </w:t>
            </w:r>
          </w:p>
        </w:tc>
      </w:tr>
      <w:tr w:rsidR="00D822C9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822C9" w:rsidRPr="00D822C9" w:rsidRDefault="00D822C9" w:rsidP="00D822C9">
            <w:pPr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3.8.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Plenária Extraordinária: 09/08 e 100ª Plenária Ordinária</w:t>
            </w:r>
          </w:p>
        </w:tc>
      </w:tr>
      <w:tr w:rsidR="00D822C9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Presidência</w:t>
            </w:r>
          </w:p>
        </w:tc>
      </w:tr>
      <w:tr w:rsidR="00D822C9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02D">
              <w:rPr>
                <w:rFonts w:ascii="Times New Roman" w:hAnsi="Times New Roman"/>
                <w:sz w:val="20"/>
                <w:szCs w:val="20"/>
              </w:rPr>
              <w:t>Tiago Holzmann da Silva</w:t>
            </w:r>
          </w:p>
        </w:tc>
      </w:tr>
      <w:tr w:rsidR="00D822C9" w:rsidRPr="00C62071" w:rsidTr="00D822C9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822C9" w:rsidRPr="00C62071" w:rsidRDefault="00D822C9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22C9" w:rsidRPr="00C62071" w:rsidRDefault="00D822C9" w:rsidP="00467B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que há a necessidade de pautar 15 (quinze) processos éticos para as próximas plenárias. Propõe que sejam pautados 07 (sete) processos para a plenária de julho, no dia 19 e outros 08 (oito) processos em plenária extraordinária no dia 09 de agosto. Considerando que a plenária ordinária agendada para 16 de agosto, é a centésima reunião, o presidente propõe uma plenária estendida, sendo tratada a pauta ordinária na parte da manhã e, na parte da tarde, pauta temática sobre patrimônio. </w:t>
            </w:r>
          </w:p>
        </w:tc>
      </w:tr>
    </w:tbl>
    <w:p w:rsidR="00DB292D" w:rsidRDefault="00DB292D" w:rsidP="007F0D7E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6090" w:type="dxa"/>
        <w:tblInd w:w="-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8"/>
        <w:gridCol w:w="2014"/>
        <w:gridCol w:w="2273"/>
        <w:gridCol w:w="211"/>
        <w:gridCol w:w="4396"/>
        <w:gridCol w:w="211"/>
        <w:gridCol w:w="148"/>
        <w:gridCol w:w="6729"/>
      </w:tblGrid>
      <w:tr w:rsidR="007F0D7E" w:rsidRPr="00C62071" w:rsidTr="00B52D80"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9253" w:type="dxa"/>
            <w:gridSpan w:val="6"/>
            <w:shd w:val="clear" w:color="auto" w:fill="F2F2F2" w:themeFill="background1" w:themeFillShade="F2"/>
            <w:vAlign w:val="center"/>
          </w:tcPr>
          <w:p w:rsidR="007F0D7E" w:rsidRPr="00C62071" w:rsidRDefault="00C13B3B" w:rsidP="00D822C9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Comunicações</w:t>
            </w:r>
          </w:p>
        </w:tc>
      </w:tr>
      <w:tr w:rsidR="00467BB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467BB6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467BB6" w:rsidRPr="00B96445" w:rsidRDefault="00467BB6" w:rsidP="00467BB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96445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467BB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467BB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467BB6" w:rsidRPr="00B52D80" w:rsidRDefault="00467BB6" w:rsidP="00467BB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52D80">
              <w:rPr>
                <w:rFonts w:ascii="Times New Roman" w:hAnsi="Times New Roman"/>
                <w:b/>
                <w:sz w:val="22"/>
                <w:szCs w:val="22"/>
              </w:rPr>
              <w:t xml:space="preserve">Tiago Holzmann da Silva </w:t>
            </w:r>
          </w:p>
        </w:tc>
      </w:tr>
      <w:tr w:rsidR="00C623A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C623A6" w:rsidRPr="00B52D80" w:rsidRDefault="00467BB6" w:rsidP="00C6207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80">
              <w:rPr>
                <w:rFonts w:ascii="Times New Roman" w:hAnsi="Times New Roman"/>
                <w:b/>
                <w:sz w:val="20"/>
                <w:szCs w:val="20"/>
              </w:rPr>
              <w:t>Coffee-Break Plenária</w:t>
            </w:r>
            <w:r w:rsidR="00B52D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467BB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67BB6" w:rsidRPr="00C62071" w:rsidRDefault="00467BB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Relato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467BB6" w:rsidRDefault="00467BB6" w:rsidP="00B52D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Presidente TIAGO HOLZMANN DA SILVA comenta que o custo do lanche da plenária, é de R$ 930,00 por reunião, conforme o pregão realizado e recém finalizado. </w:t>
            </w:r>
            <w:r w:rsidR="00B52D80">
              <w:rPr>
                <w:rFonts w:ascii="Times New Roman" w:hAnsi="Times New Roman"/>
                <w:sz w:val="20"/>
                <w:szCs w:val="20"/>
              </w:rPr>
              <w:t xml:space="preserve">A opinião dos membros do Conselho Diretor, é que o valor é alto e não deve mais ser solicitado o item. </w:t>
            </w:r>
          </w:p>
        </w:tc>
      </w:tr>
      <w:tr w:rsidR="00B52D80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B52D80" w:rsidRPr="00B52D80" w:rsidRDefault="00B52D80" w:rsidP="00B52D8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Manifestações de empregados sobre conduta de conselheira.</w:t>
            </w:r>
          </w:p>
        </w:tc>
      </w:tr>
      <w:tr w:rsidR="00B52D80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Relato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B52D80" w:rsidRDefault="00B52D80" w:rsidP="00B52D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Presidente TIAGO HOLZMANN DA SILVA </w:t>
            </w:r>
            <w:r>
              <w:rPr>
                <w:rFonts w:ascii="Times New Roman" w:hAnsi="Times New Roman"/>
                <w:sz w:val="20"/>
                <w:szCs w:val="20"/>
              </w:rPr>
              <w:t>relata sobre documento encaminhado por um grupo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empregados, quanto a conduta da Conselheira Raquel Bresolin, no trato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com os mesmos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Define-se que o documento deve ser encaminhado à conselheira, para conhecimento e resposta, para apresentação no Conselho Diretor, na próxima reunião.</w:t>
            </w:r>
          </w:p>
        </w:tc>
      </w:tr>
      <w:tr w:rsidR="00B52D80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B52D80" w:rsidRDefault="00B52D80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B52D80" w:rsidRPr="00C62071" w:rsidRDefault="00B52D80" w:rsidP="00B52D8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 xml:space="preserve">Comissão de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Exercício Profissional</w:t>
            </w:r>
          </w:p>
        </w:tc>
      </w:tr>
      <w:tr w:rsidR="00B52D80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B52D80" w:rsidRPr="00C62071" w:rsidRDefault="00B52D80" w:rsidP="00E8574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Oritz Adriano Adams de Campos</w:t>
            </w:r>
          </w:p>
        </w:tc>
      </w:tr>
      <w:tr w:rsidR="00B52D80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B52D80" w:rsidRPr="00C62071" w:rsidRDefault="00B52D80" w:rsidP="00E857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Informe</w:t>
            </w:r>
          </w:p>
        </w:tc>
        <w:tc>
          <w:tcPr>
            <w:tcW w:w="7239" w:type="dxa"/>
            <w:gridSpan w:val="5"/>
            <w:vAlign w:val="center"/>
          </w:tcPr>
          <w:p w:rsidR="00B52D80" w:rsidRDefault="00B52D80" w:rsidP="00946A3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Conselheiro ORITZ ADRIANO ADAMS DE CAMPOS apresenta solicitação de alteração de horário da reunião da CEP, nas semanas de plen</w:t>
            </w:r>
            <w:r w:rsidR="00946A39">
              <w:rPr>
                <w:rFonts w:ascii="Times New Roman" w:hAnsi="Times New Roman"/>
                <w:sz w:val="20"/>
                <w:szCs w:val="20"/>
              </w:rPr>
              <w:t xml:space="preserve">árias, tendo em vista melhorar os deslocamentos dos membros do interior, que necessitam de deslocamentos maiores. Considerando que na tarde anterior à plenária, ocorre a montagem e organização da sala grande para reunião, o </w:t>
            </w:r>
            <w:bookmarkStart w:id="0" w:name="_GoBack"/>
            <w:bookmarkEnd w:id="0"/>
            <w:r w:rsidR="00946A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23A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Ensino e Formação</w:t>
            </w:r>
          </w:p>
        </w:tc>
      </w:tr>
      <w:tr w:rsidR="00C623A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C623A6" w:rsidP="00C623A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Claudio Fischer</w:t>
            </w:r>
          </w:p>
        </w:tc>
      </w:tr>
      <w:tr w:rsidR="00C623A6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C62071" w:rsidRDefault="00C623A6" w:rsidP="00C623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vAlign w:val="center"/>
          </w:tcPr>
          <w:p w:rsidR="00C623A6" w:rsidRPr="00C62071" w:rsidRDefault="00D874E4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CLÁUDIO FISCHER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 xml:space="preserve">comenta sobre as atividades da CEF-CAU/RS. </w:t>
            </w:r>
          </w:p>
        </w:tc>
      </w:tr>
      <w:tr w:rsidR="0045660C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Organização e Administração</w:t>
            </w:r>
          </w:p>
        </w:tc>
      </w:tr>
      <w:tr w:rsidR="0045660C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Paulo Fernando do Amaral Fontana</w:t>
            </w:r>
          </w:p>
        </w:tc>
      </w:tr>
      <w:tr w:rsidR="0045660C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1C476F" w:rsidP="00C620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 xml:space="preserve">O Conselheiro PAULO FERNANDO DO AMARAL FONTANA relata </w:t>
            </w:r>
            <w:r w:rsidR="00C62071" w:rsidRPr="00C62071">
              <w:rPr>
                <w:rFonts w:ascii="Times New Roman" w:hAnsi="Times New Roman"/>
                <w:sz w:val="20"/>
                <w:szCs w:val="20"/>
              </w:rPr>
              <w:t>sobre as atividades da COA</w:t>
            </w:r>
            <w:r w:rsidRPr="00C6207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5660C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B52D80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45660C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Comissão de Planejamento e Finanças</w:t>
            </w:r>
          </w:p>
        </w:tc>
      </w:tr>
      <w:tr w:rsidR="0045660C" w:rsidRPr="00C62071" w:rsidTr="00B52D80">
        <w:tblPrEx>
          <w:shd w:val="clear" w:color="auto" w:fill="auto"/>
        </w:tblPrEx>
        <w:trPr>
          <w:gridBefore w:val="1"/>
          <w:gridAfter w:val="1"/>
          <w:wBefore w:w="108" w:type="dxa"/>
          <w:wAfter w:w="672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660C" w:rsidRPr="00C62071" w:rsidRDefault="0045660C" w:rsidP="00AE39B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660C" w:rsidRPr="00C62071" w:rsidRDefault="0045660C" w:rsidP="00AE39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Rômulo Plentz Giralt</w:t>
            </w: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07"/>
        </w:trPr>
        <w:tc>
          <w:tcPr>
            <w:tcW w:w="9002" w:type="dxa"/>
            <w:gridSpan w:val="5"/>
            <w:shd w:val="clear" w:color="auto" w:fill="auto"/>
          </w:tcPr>
          <w:p w:rsidR="0068363C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2071" w:rsidRPr="00C62071" w:rsidRDefault="00C62071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TIAGO HOLZMANN DA SILVA</w:t>
            </w:r>
          </w:p>
          <w:p w:rsidR="0068363C" w:rsidRPr="00C62071" w:rsidRDefault="0068363C" w:rsidP="00FB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Presidente do CAU/RS</w:t>
            </w:r>
          </w:p>
        </w:tc>
        <w:tc>
          <w:tcPr>
            <w:tcW w:w="7088" w:type="dxa"/>
            <w:gridSpan w:val="3"/>
            <w:vAlign w:val="center"/>
          </w:tcPr>
          <w:p w:rsidR="0068363C" w:rsidRPr="00C62071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Vice-Presidente do 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C62071" w:rsidRDefault="007D4ECD" w:rsidP="007D4E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CLÁUDIO FISCHER</w:t>
            </w:r>
          </w:p>
          <w:p w:rsidR="0068363C" w:rsidRPr="00C62071" w:rsidRDefault="007D4ECD" w:rsidP="007D4E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CEF-CAU/RS</w:t>
            </w: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ORITZ ADRIANO ADAMS DE CAMPOS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 xml:space="preserve">PAULO FERNANDO 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DO AMARAL FONTANA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COA-CAU/RS</w:t>
            </w: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CPF-CAU/RS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</w:trPr>
        <w:tc>
          <w:tcPr>
            <w:tcW w:w="4395" w:type="dxa"/>
            <w:gridSpan w:val="3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Assessoria: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TALES VÖLKER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Gerente Geral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792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JOSIANE CRISTINA BERNARDI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Secretaria Geral da Mesa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6207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Conselheiros Coordenadores Adjuntos:</w:t>
            </w:r>
          </w:p>
          <w:p w:rsidR="0068363C" w:rsidRPr="00C62071" w:rsidRDefault="0068363C" w:rsidP="0068363C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NOE VEJA COTTA DE MELLO</w:t>
            </w:r>
          </w:p>
          <w:p w:rsidR="0068363C" w:rsidRPr="00C62071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lastRenderedPageBreak/>
              <w:tab/>
            </w: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RODRIGO SPINELLI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Ajunto da CEF-CAU/RS</w:t>
            </w: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HELENICE MACEDO DE COUTO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VINÍCIUS VIEIRA DE SOUZA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 Adjunto da COA-CAU/RS</w:t>
            </w:r>
          </w:p>
        </w:tc>
      </w:tr>
      <w:tr w:rsidR="0068363C" w:rsidRPr="00C62071" w:rsidTr="00B5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</w:trPr>
        <w:tc>
          <w:tcPr>
            <w:tcW w:w="4606" w:type="dxa"/>
            <w:gridSpan w:val="4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PRISCILA TERRA QUESADA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pacing w:val="4"/>
                <w:sz w:val="20"/>
                <w:szCs w:val="20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071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68363C" w:rsidRPr="00C62071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071">
              <w:rPr>
                <w:rFonts w:ascii="Times New Roman" w:hAnsi="Times New Roman"/>
                <w:sz w:val="20"/>
                <w:szCs w:val="20"/>
              </w:rPr>
              <w:t>Coordenador adjunto da CPUA-CAU/RS</w:t>
            </w:r>
          </w:p>
          <w:p w:rsidR="0068363C" w:rsidRPr="00C62071" w:rsidRDefault="0068363C" w:rsidP="006836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1426" w:rsidRPr="00C62071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D01426" w:rsidRPr="00C62071" w:rsidSect="002A3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6A3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2D8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C62071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16</w:t>
    </w:r>
    <w:r w:rsidR="002A32A5">
      <w:rPr>
        <w:rFonts w:ascii="DaxCondensed" w:hAnsi="DaxCondensed" w:cs="Arial"/>
        <w:color w:val="386C71"/>
        <w:sz w:val="20"/>
        <w:szCs w:val="20"/>
      </w:rPr>
      <w:t>1</w:t>
    </w:r>
    <w:r w:rsidR="00AE39B0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2A32A5">
      <w:rPr>
        <w:rFonts w:ascii="DaxCondensed" w:hAnsi="DaxCondensed" w:cs="Arial"/>
        <w:color w:val="386C71"/>
        <w:sz w:val="20"/>
        <w:szCs w:val="20"/>
      </w:rPr>
      <w:t xml:space="preserve">                   SÚMULA DA 161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3"/>
  </w:num>
  <w:num w:numId="4">
    <w:abstractNumId w:val="19"/>
  </w:num>
  <w:num w:numId="5">
    <w:abstractNumId w:val="24"/>
  </w:num>
  <w:num w:numId="6">
    <w:abstractNumId w:val="44"/>
  </w:num>
  <w:num w:numId="7">
    <w:abstractNumId w:val="45"/>
  </w:num>
  <w:num w:numId="8">
    <w:abstractNumId w:val="32"/>
  </w:num>
  <w:num w:numId="9">
    <w:abstractNumId w:val="38"/>
  </w:num>
  <w:num w:numId="10">
    <w:abstractNumId w:val="20"/>
  </w:num>
  <w:num w:numId="11">
    <w:abstractNumId w:val="21"/>
  </w:num>
  <w:num w:numId="12">
    <w:abstractNumId w:val="26"/>
  </w:num>
  <w:num w:numId="13">
    <w:abstractNumId w:val="4"/>
  </w:num>
  <w:num w:numId="14">
    <w:abstractNumId w:val="17"/>
  </w:num>
  <w:num w:numId="15">
    <w:abstractNumId w:val="7"/>
  </w:num>
  <w:num w:numId="16">
    <w:abstractNumId w:val="0"/>
  </w:num>
  <w:num w:numId="17">
    <w:abstractNumId w:val="25"/>
  </w:num>
  <w:num w:numId="18">
    <w:abstractNumId w:val="29"/>
  </w:num>
  <w:num w:numId="19">
    <w:abstractNumId w:val="16"/>
  </w:num>
  <w:num w:numId="20">
    <w:abstractNumId w:val="35"/>
  </w:num>
  <w:num w:numId="21">
    <w:abstractNumId w:val="40"/>
  </w:num>
  <w:num w:numId="22">
    <w:abstractNumId w:val="6"/>
  </w:num>
  <w:num w:numId="23">
    <w:abstractNumId w:val="39"/>
  </w:num>
  <w:num w:numId="24">
    <w:abstractNumId w:val="18"/>
  </w:num>
  <w:num w:numId="25">
    <w:abstractNumId w:val="46"/>
  </w:num>
  <w:num w:numId="26">
    <w:abstractNumId w:val="13"/>
  </w:num>
  <w:num w:numId="27">
    <w:abstractNumId w:val="9"/>
  </w:num>
  <w:num w:numId="28">
    <w:abstractNumId w:val="30"/>
  </w:num>
  <w:num w:numId="29">
    <w:abstractNumId w:val="14"/>
  </w:num>
  <w:num w:numId="30">
    <w:abstractNumId w:val="11"/>
  </w:num>
  <w:num w:numId="31">
    <w:abstractNumId w:val="28"/>
  </w:num>
  <w:num w:numId="32">
    <w:abstractNumId w:val="3"/>
  </w:num>
  <w:num w:numId="33">
    <w:abstractNumId w:val="31"/>
  </w:num>
  <w:num w:numId="34">
    <w:abstractNumId w:val="10"/>
  </w:num>
  <w:num w:numId="35">
    <w:abstractNumId w:val="27"/>
  </w:num>
  <w:num w:numId="36">
    <w:abstractNumId w:val="43"/>
  </w:num>
  <w:num w:numId="37">
    <w:abstractNumId w:val="2"/>
  </w:num>
  <w:num w:numId="38">
    <w:abstractNumId w:val="15"/>
  </w:num>
  <w:num w:numId="39">
    <w:abstractNumId w:val="37"/>
  </w:num>
  <w:num w:numId="40">
    <w:abstractNumId w:val="42"/>
  </w:num>
  <w:num w:numId="41">
    <w:abstractNumId w:val="22"/>
  </w:num>
  <w:num w:numId="42">
    <w:abstractNumId w:val="5"/>
  </w:num>
  <w:num w:numId="43">
    <w:abstractNumId w:val="36"/>
  </w:num>
  <w:num w:numId="44">
    <w:abstractNumId w:val="41"/>
  </w:num>
  <w:num w:numId="45">
    <w:abstractNumId w:val="1"/>
  </w:num>
  <w:num w:numId="46">
    <w:abstractNumId w:val="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C476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5172A"/>
    <w:rsid w:val="0025277E"/>
    <w:rsid w:val="00255166"/>
    <w:rsid w:val="00262674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1D2B"/>
    <w:rsid w:val="005955E7"/>
    <w:rsid w:val="005976C4"/>
    <w:rsid w:val="005A7A7F"/>
    <w:rsid w:val="005B1AF6"/>
    <w:rsid w:val="005B4B10"/>
    <w:rsid w:val="005D2428"/>
    <w:rsid w:val="005D2FBE"/>
    <w:rsid w:val="005D3D88"/>
    <w:rsid w:val="005D4125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363C"/>
    <w:rsid w:val="00685CBE"/>
    <w:rsid w:val="00690C35"/>
    <w:rsid w:val="0069229F"/>
    <w:rsid w:val="006929F1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3AAB"/>
    <w:rsid w:val="00AA4CEB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B541-8C34-405A-83B4-180CDF6B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1178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22</cp:revision>
  <cp:lastPrinted>2019-04-17T19:56:00Z</cp:lastPrinted>
  <dcterms:created xsi:type="dcterms:W3CDTF">2019-03-13T15:02:00Z</dcterms:created>
  <dcterms:modified xsi:type="dcterms:W3CDTF">2019-06-12T19:11:00Z</dcterms:modified>
</cp:coreProperties>
</file>