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1560"/>
        <w:gridCol w:w="2754"/>
        <w:gridCol w:w="70"/>
      </w:tblGrid>
      <w:tr w:rsidR="00107B9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4734A9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F20BD4">
              <w:rPr>
                <w:rFonts w:ascii="Times New Roman" w:hAnsi="Times New Roman"/>
                <w:sz w:val="22"/>
                <w:szCs w:val="22"/>
              </w:rPr>
              <w:t>02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F20BD4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29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de janeiro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4C7915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as 14h às 16h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740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740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Roberto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uiz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ecó</w:t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01740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B0EC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Priscila Terra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Quesada</w:t>
            </w:r>
            <w:proofErr w:type="spellEnd"/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CD66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bookmarkStart w:id="0" w:name="_GoBack"/>
            <w:bookmarkEnd w:id="0"/>
          </w:p>
        </w:tc>
      </w:tr>
      <w:tr w:rsidR="00CC43DF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C43DF" w:rsidRPr="004303BE" w:rsidRDefault="00CC43DF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3DF" w:rsidRPr="00CC43DF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Manoel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J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oaquim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ostes</w:t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3DF" w:rsidRDefault="00CC43DF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601740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01740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5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  <w:tc>
          <w:tcPr>
            <w:tcW w:w="282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434BA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4303BE" w:rsidP="00EE63B6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 w:rsidR="00551153"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D0391E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4303BE" w:rsidRPr="004303BE" w:rsidRDefault="00994494" w:rsidP="00CD66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quórum, todos os conselheiros convocados estão presentes.</w:t>
            </w:r>
          </w:p>
        </w:tc>
      </w:tr>
      <w:tr w:rsidR="00F20BD4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20BD4" w:rsidRPr="00F20BD4" w:rsidRDefault="00F20BD4" w:rsidP="00F20B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F20BD4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20BD4" w:rsidRPr="00F20BD4" w:rsidRDefault="00F20BD4" w:rsidP="00F20BD4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Verificação e aprovação da súmula da reunião anterior</w:t>
            </w:r>
          </w:p>
        </w:tc>
      </w:tr>
      <w:tr w:rsidR="00F20BD4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20BD4" w:rsidRPr="00551153" w:rsidRDefault="00F20BD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BD4" w:rsidRPr="004303BE" w:rsidRDefault="00F20BD4" w:rsidP="00A379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Cons. Roberto Decó solicita o registro </w:t>
            </w:r>
            <w:r w:rsidR="00994494">
              <w:rPr>
                <w:rFonts w:ascii="Times New Roman" w:eastAsia="MS Mincho" w:hAnsi="Times New Roman"/>
                <w:sz w:val="22"/>
                <w:szCs w:val="22"/>
              </w:rPr>
              <w:t xml:space="preserve">na súmula da 01ª reunião 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994494">
              <w:rPr>
                <w:rFonts w:ascii="Times New Roman" w:eastAsia="MS Mincho" w:hAnsi="Times New Roman"/>
                <w:sz w:val="22"/>
                <w:szCs w:val="22"/>
              </w:rPr>
              <w:t>rdinária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esteve presente, mas que chegou após o início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>. Realizados os ajustes, a súmula é assinada pelos presentes.</w:t>
            </w:r>
          </w:p>
        </w:tc>
      </w:tr>
      <w:tr w:rsidR="00F20BD4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20BD4" w:rsidRPr="00551153" w:rsidRDefault="00F20BD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BD4" w:rsidRPr="004303BE" w:rsidRDefault="00F20BD4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Alterar a súmula conforme solicitado</w:t>
            </w:r>
            <w:r w:rsidR="00994494">
              <w:rPr>
                <w:rFonts w:ascii="Times New Roman" w:eastAsia="MS Mincho" w:hAnsi="Times New Roman"/>
                <w:sz w:val="22"/>
                <w:szCs w:val="22"/>
              </w:rPr>
              <w:t xml:space="preserve"> e assinada pelos presentes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20BD4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20BD4" w:rsidRDefault="00F20BD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BD4" w:rsidRPr="004303BE" w:rsidRDefault="00F20BD4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BD4" w:rsidRPr="004303BE" w:rsidRDefault="00F20BD4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BD4" w:rsidRDefault="00F20BD4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F20BD4" w:rsidRPr="004303BE" w:rsidRDefault="00F20BD4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51153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51153" w:rsidRPr="00551153" w:rsidRDefault="004734A9" w:rsidP="00F20B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CF679F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CF679F" w:rsidP="00CF679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Cons. Marisa Potter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551153" w:rsidRDefault="00CF679F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94494" w:rsidRDefault="00741975" w:rsidP="00CF679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</w:t>
            </w:r>
            <w:r w:rsidR="00CF679F">
              <w:rPr>
                <w:rFonts w:ascii="Times New Roman" w:eastAsia="MS Mincho" w:hAnsi="Times New Roman"/>
                <w:sz w:val="22"/>
                <w:szCs w:val="22"/>
              </w:rPr>
              <w:t>onselheira fala que o IAB se manife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>stou sobre a Lei</w:t>
            </w:r>
            <w:r w:rsidR="00AB5337">
              <w:rPr>
                <w:rFonts w:ascii="Times New Roman" w:eastAsia="MS Mincho" w:hAnsi="Times New Roman"/>
                <w:sz w:val="22"/>
                <w:szCs w:val="22"/>
              </w:rPr>
              <w:t xml:space="preserve"> de Regularização Fundiária </w:t>
            </w:r>
            <w:r w:rsidR="00CF679F">
              <w:rPr>
                <w:rFonts w:ascii="Times New Roman" w:eastAsia="MS Mincho" w:hAnsi="Times New Roman"/>
                <w:sz w:val="22"/>
                <w:szCs w:val="22"/>
              </w:rPr>
              <w:t>Urbana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 xml:space="preserve"> e que até o momento o CAU/RS não publicou nada a respeito.</w:t>
            </w:r>
          </w:p>
          <w:p w:rsidR="00CF679F" w:rsidRDefault="00CF679F" w:rsidP="00CF679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</w:t>
            </w:r>
            <w:r w:rsidR="002B6852">
              <w:rPr>
                <w:rFonts w:ascii="Times New Roman" w:eastAsia="MS Mincho" w:hAnsi="Times New Roman"/>
                <w:sz w:val="22"/>
                <w:szCs w:val="22"/>
              </w:rPr>
              <w:t>elheiro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Roberto Decó explica que qualquer alteração nesta Lei deve 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 xml:space="preserve">ser </w:t>
            </w:r>
            <w:r w:rsidR="002B6852">
              <w:rPr>
                <w:rFonts w:ascii="Times New Roman" w:eastAsia="MS Mincho" w:hAnsi="Times New Roman"/>
                <w:sz w:val="22"/>
                <w:szCs w:val="22"/>
              </w:rPr>
              <w:t>realizada mediante ADIN, a ser movida por uma entidade.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Fala que o</w:t>
            </w:r>
            <w:r w:rsidR="005E119A">
              <w:rPr>
                <w:rFonts w:ascii="Times New Roman" w:eastAsia="MS Mincho" w:hAnsi="Times New Roman"/>
                <w:sz w:val="22"/>
                <w:szCs w:val="22"/>
              </w:rPr>
              <w:t xml:space="preserve"> tema já foi tratado na gestão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nterior, mas que não houve definição sobre o tema. Esclarece que se trata de Lei proposta diretamente pelo Poder Executivo.</w:t>
            </w:r>
          </w:p>
          <w:p w:rsidR="00AB5337" w:rsidRPr="004303BE" w:rsidRDefault="002B6852" w:rsidP="00A3790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Diz também que </w:t>
            </w:r>
            <w:r w:rsidR="00741975">
              <w:rPr>
                <w:rFonts w:ascii="Times New Roman" w:eastAsia="MS Mincho" w:hAnsi="Times New Roman"/>
                <w:sz w:val="22"/>
                <w:szCs w:val="22"/>
              </w:rPr>
              <w:t xml:space="preserve">recebeu 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>da ex-conselheira Rosana Oppitz</w:t>
            </w:r>
            <w:r w:rsidR="00741975">
              <w:rPr>
                <w:rFonts w:ascii="Times New Roman" w:eastAsia="MS Mincho" w:hAnsi="Times New Roman"/>
                <w:sz w:val="22"/>
                <w:szCs w:val="22"/>
              </w:rPr>
              <w:t xml:space="preserve"> a informação de que está em tramitação no Senado o PLS 280/2017, que fala sobre a fiscalização por particulares. Como encaminhamento, a Comissão solicita orientações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 Assessoria Jurídica sobre como o CAU/RS pode se expressar.</w:t>
            </w:r>
            <w:r w:rsidR="00DC5019">
              <w:rPr>
                <w:rFonts w:ascii="Times New Roman" w:eastAsia="MS Mincho" w:hAnsi="Times New Roman"/>
                <w:sz w:val="22"/>
                <w:szCs w:val="22"/>
              </w:rPr>
              <w:t xml:space="preserve"> O coordenador jurídico Cézar, presente na reunião, explica que 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 xml:space="preserve">é </w:t>
            </w:r>
            <w:r w:rsidR="00DC5019">
              <w:rPr>
                <w:rFonts w:ascii="Times New Roman" w:eastAsia="MS Mincho" w:hAnsi="Times New Roman"/>
                <w:sz w:val="22"/>
                <w:szCs w:val="22"/>
              </w:rPr>
              <w:t>preciso compreender o conteúdo do projeto de lei</w:t>
            </w:r>
            <w:r w:rsidR="00A37907">
              <w:rPr>
                <w:rFonts w:ascii="Times New Roman" w:eastAsia="MS Mincho" w:hAnsi="Times New Roman"/>
                <w:sz w:val="22"/>
                <w:szCs w:val="22"/>
              </w:rPr>
              <w:t xml:space="preserve"> para então </w:t>
            </w:r>
            <w:r w:rsidR="00DC5019">
              <w:rPr>
                <w:rFonts w:ascii="Times New Roman" w:eastAsia="MS Mincho" w:hAnsi="Times New Roman"/>
                <w:sz w:val="22"/>
                <w:szCs w:val="22"/>
              </w:rPr>
              <w:t>verificar se o assunto deve ser conduzido pelo CAU/BR ou pode ser pelos CAU/UF.</w:t>
            </w:r>
          </w:p>
        </w:tc>
      </w:tr>
      <w:tr w:rsidR="00F20BD4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20BD4" w:rsidRDefault="00CF679F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975" w:rsidRPr="00CF679F" w:rsidRDefault="00CF679F" w:rsidP="00A37907">
            <w:pPr>
              <w:pStyle w:val="PargrafodaLista"/>
              <w:tabs>
                <w:tab w:val="left" w:pos="252"/>
              </w:tabs>
              <w:ind w:left="-31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Solicitar orientação da Assessoria Jurídica </w:t>
            </w:r>
            <w:r w:rsidR="00DC5019">
              <w:rPr>
                <w:rFonts w:ascii="Times New Roman" w:eastAsia="MS Mincho" w:hAnsi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Lei de</w:t>
            </w:r>
            <w:r w:rsidR="00DC5019">
              <w:rPr>
                <w:rFonts w:ascii="Times New Roman" w:eastAsia="MS Mincho" w:hAnsi="Times New Roman"/>
                <w:sz w:val="22"/>
                <w:szCs w:val="22"/>
              </w:rPr>
              <w:t xml:space="preserve"> Regularização Fundiária Urbana e sobre o </w:t>
            </w:r>
            <w:r w:rsidR="00741975">
              <w:rPr>
                <w:rFonts w:ascii="Times New Roman" w:eastAsia="MS Mincho" w:hAnsi="Times New Roman"/>
                <w:sz w:val="22"/>
                <w:szCs w:val="22"/>
              </w:rPr>
              <w:t>PLS 280/2017</w:t>
            </w:r>
            <w:r w:rsidR="00DC501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F679F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F679F" w:rsidRDefault="00DC5019" w:rsidP="004303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679F" w:rsidRPr="004303BE" w:rsidRDefault="00DC5019" w:rsidP="00CD66E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4303B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0391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4734A9" w:rsidP="00F20B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D0391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4629E3" w:rsidP="007A3A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5DD1" w:rsidRPr="004303BE" w:rsidRDefault="004629E3" w:rsidP="00132E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C5019">
              <w:rPr>
                <w:rFonts w:ascii="Times New Roman" w:eastAsia="MS Mincho" w:hAnsi="Times New Roman"/>
                <w:sz w:val="22"/>
                <w:szCs w:val="22"/>
              </w:rPr>
              <w:t>Análise da IN nº 013/2017</w:t>
            </w:r>
            <w:r w:rsidR="00132EF4">
              <w:rPr>
                <w:rFonts w:ascii="Times New Roman" w:eastAsia="MS Mincho" w:hAnsi="Times New Roman"/>
                <w:sz w:val="22"/>
                <w:szCs w:val="22"/>
              </w:rPr>
              <w:t xml:space="preserve"> – Indicação de representante no </w:t>
            </w:r>
            <w:r w:rsidR="004E5DD1" w:rsidRPr="00132EF4">
              <w:rPr>
                <w:rFonts w:ascii="Times New Roman" w:eastAsia="MS Mincho" w:hAnsi="Times New Roman"/>
                <w:sz w:val="22"/>
                <w:szCs w:val="22"/>
              </w:rPr>
              <w:t>Conselho Municipal de Planejamento Urbano de Porto Alegre</w:t>
            </w:r>
          </w:p>
        </w:tc>
      </w:tr>
      <w:tr w:rsidR="00D0391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4629E3" w:rsidP="004629E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391E" w:rsidRPr="004303BE" w:rsidRDefault="004629E3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Vinícius Vieira de Souza</w:t>
            </w:r>
          </w:p>
        </w:tc>
      </w:tr>
      <w:tr w:rsidR="00D0391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Default="00D0391E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C5019" w:rsidRDefault="00DC5019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C5019" w:rsidRDefault="00DC5019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C5019" w:rsidRDefault="00DC5019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C5019" w:rsidRPr="004303BE" w:rsidRDefault="00DC5019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Pr="004303BE" w:rsidRDefault="00D0391E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0391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551153" w:rsidRDefault="004734A9" w:rsidP="00DC5019">
            <w:pPr>
              <w:pStyle w:val="PargrafodaLista"/>
              <w:numPr>
                <w:ilvl w:val="0"/>
                <w:numId w:val="4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D0391E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Pr="004303BE" w:rsidRDefault="00D0391E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0391E" w:rsidRPr="004303BE" w:rsidRDefault="00D0391E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0391E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0391E" w:rsidRPr="00741975" w:rsidRDefault="00741975" w:rsidP="00EE63B6">
            <w:pPr>
              <w:pStyle w:val="PargrafodaLista"/>
              <w:numPr>
                <w:ilvl w:val="0"/>
                <w:numId w:val="19"/>
              </w:numPr>
              <w:ind w:left="303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>Retorno sobre as demandas quanto ao diálogo com outras entidades, instituições e órgãos públicos</w:t>
            </w:r>
          </w:p>
        </w:tc>
      </w:tr>
      <w:tr w:rsidR="007434BA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34BA" w:rsidRPr="00551153" w:rsidRDefault="007434BA" w:rsidP="007434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34BA" w:rsidRPr="00044DD9" w:rsidRDefault="00CF15C3" w:rsidP="007434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7434BA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34BA" w:rsidRPr="00551153" w:rsidRDefault="007434BA" w:rsidP="007434B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34BA" w:rsidRPr="00044DD9" w:rsidRDefault="00CF15C3" w:rsidP="007434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  <w:tr w:rsidR="00CF15C3" w:rsidRPr="004303BE" w:rsidTr="00C178A6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F15C3" w:rsidRDefault="00CF15C3" w:rsidP="00C178A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5C3" w:rsidRPr="00C178A6" w:rsidRDefault="00132EF4" w:rsidP="00132E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>A chefe de g</w:t>
            </w:r>
            <w:r w:rsidR="00CF15C3" w:rsidRPr="00C178A6">
              <w:rPr>
                <w:rFonts w:ascii="Times New Roman" w:hAnsi="Times New Roman"/>
                <w:sz w:val="22"/>
                <w:szCs w:val="22"/>
              </w:rPr>
              <w:t xml:space="preserve">abinete </w:t>
            </w:r>
            <w:r w:rsidRPr="00C178A6">
              <w:rPr>
                <w:rFonts w:ascii="Times New Roman" w:hAnsi="Times New Roman"/>
                <w:sz w:val="22"/>
                <w:szCs w:val="22"/>
              </w:rPr>
              <w:t xml:space="preserve">Josiane </w:t>
            </w:r>
            <w:r w:rsidR="00CF15C3" w:rsidRPr="00C178A6">
              <w:rPr>
                <w:rFonts w:ascii="Times New Roman" w:hAnsi="Times New Roman"/>
                <w:sz w:val="22"/>
                <w:szCs w:val="22"/>
              </w:rPr>
              <w:t xml:space="preserve">esclarece </w:t>
            </w:r>
            <w:r w:rsidRPr="00C178A6">
              <w:rPr>
                <w:rFonts w:ascii="Times New Roman" w:hAnsi="Times New Roman"/>
                <w:sz w:val="22"/>
                <w:szCs w:val="22"/>
              </w:rPr>
              <w:t xml:space="preserve">que o </w:t>
            </w:r>
            <w:r w:rsidR="00CF15C3" w:rsidRPr="00C178A6">
              <w:rPr>
                <w:rFonts w:ascii="Times New Roman" w:hAnsi="Times New Roman"/>
                <w:sz w:val="22"/>
                <w:szCs w:val="22"/>
              </w:rPr>
              <w:t>Presidente</w:t>
            </w:r>
            <w:r w:rsidRPr="00C178A6">
              <w:rPr>
                <w:rFonts w:ascii="Times New Roman" w:hAnsi="Times New Roman"/>
                <w:sz w:val="22"/>
                <w:szCs w:val="22"/>
              </w:rPr>
              <w:t xml:space="preserve"> Tiago solicitou às Comissões a indicação de entidades, instituições e órgãos públicos para que o CAU/RS faça contato institucional, visando uma aproximação. Solicita o mesmo à CPUA/RS e informa que, uma vez finalizadas as indicações, a listagem será entregue à Comissão.</w:t>
            </w:r>
          </w:p>
          <w:p w:rsidR="007F0110" w:rsidRPr="00C178A6" w:rsidRDefault="00C178A6" w:rsidP="00F41C6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 xml:space="preserve">A respeito desse contato institucional, o </w:t>
            </w:r>
            <w:r w:rsidR="007F0110" w:rsidRPr="00C178A6">
              <w:rPr>
                <w:rFonts w:ascii="Times New Roman" w:hAnsi="Times New Roman"/>
                <w:sz w:val="22"/>
                <w:szCs w:val="22"/>
              </w:rPr>
              <w:t xml:space="preserve">coordenador Vinícius informa que </w:t>
            </w:r>
            <w:r w:rsidR="00A37907" w:rsidRPr="00C178A6">
              <w:rPr>
                <w:rFonts w:ascii="Times New Roman" w:hAnsi="Times New Roman"/>
                <w:sz w:val="22"/>
                <w:szCs w:val="22"/>
              </w:rPr>
              <w:t>nas últimas</w:t>
            </w:r>
            <w:r w:rsidR="007F0110" w:rsidRPr="00C178A6">
              <w:rPr>
                <w:rFonts w:ascii="Times New Roman" w:hAnsi="Times New Roman"/>
                <w:sz w:val="22"/>
                <w:szCs w:val="22"/>
              </w:rPr>
              <w:t xml:space="preserve"> CPUA-CAU/BR encaminhou uma carta aos candidatos com os pleitos do Conselho </w:t>
            </w:r>
            <w:r w:rsidR="00A37907" w:rsidRPr="00C178A6">
              <w:rPr>
                <w:rFonts w:ascii="Times New Roman" w:hAnsi="Times New Roman"/>
                <w:sz w:val="22"/>
                <w:szCs w:val="22"/>
              </w:rPr>
              <w:t xml:space="preserve">no que se refere às políticas urbana e ambiental. </w:t>
            </w:r>
          </w:p>
          <w:p w:rsidR="007F0110" w:rsidRPr="00C178A6" w:rsidRDefault="007F0110" w:rsidP="00C178A6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 xml:space="preserve">A Comissão sugere o envio </w:t>
            </w:r>
            <w:r w:rsidR="00C178A6" w:rsidRPr="00C178A6">
              <w:rPr>
                <w:rFonts w:ascii="Times New Roman" w:hAnsi="Times New Roman"/>
                <w:sz w:val="22"/>
                <w:szCs w:val="22"/>
              </w:rPr>
              <w:t xml:space="preserve">de ofício </w:t>
            </w:r>
            <w:r w:rsidRPr="00C178A6">
              <w:rPr>
                <w:rFonts w:ascii="Times New Roman" w:hAnsi="Times New Roman"/>
                <w:sz w:val="22"/>
                <w:szCs w:val="22"/>
              </w:rPr>
              <w:t>aos candidatos nas eleições 2018, bem como aos seguintes órgãos/entidades:</w:t>
            </w:r>
          </w:p>
          <w:p w:rsidR="00C178A6" w:rsidRPr="00C178A6" w:rsidRDefault="007F0110" w:rsidP="00C178A6">
            <w:pPr>
              <w:pStyle w:val="PargrafodaLista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>Ministério das Cidades</w:t>
            </w:r>
            <w:r w:rsidR="00C178A6" w:rsidRPr="00C178A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178A6" w:rsidRPr="00C178A6" w:rsidRDefault="007F0110" w:rsidP="00C178A6">
            <w:pPr>
              <w:pStyle w:val="PargrafodaLista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>Assembleia Legislativa</w:t>
            </w:r>
            <w:r w:rsidR="00C178A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178A6" w:rsidRPr="00C178A6" w:rsidRDefault="007F0110" w:rsidP="00C178A6">
            <w:pPr>
              <w:pStyle w:val="PargrafodaLista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>Conselhos Municipais</w:t>
            </w:r>
            <w:r w:rsidR="00C178A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178A6" w:rsidRPr="00C178A6" w:rsidRDefault="007F0110" w:rsidP="00C178A6">
            <w:pPr>
              <w:pStyle w:val="PargrafodaLista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>FAMURS</w:t>
            </w:r>
            <w:r w:rsidR="00C178A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F15C3" w:rsidRPr="00C178A6" w:rsidRDefault="007F0110" w:rsidP="00C178A6">
            <w:pPr>
              <w:pStyle w:val="PargrafodaLista"/>
              <w:numPr>
                <w:ilvl w:val="0"/>
                <w:numId w:val="4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>Prefeituras</w:t>
            </w:r>
            <w:r w:rsidR="00C178A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75FB9" w:rsidRPr="00C178A6" w:rsidRDefault="00675FB9" w:rsidP="00C178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 xml:space="preserve">Incluir </w:t>
            </w:r>
            <w:r w:rsidR="00C178A6" w:rsidRPr="00C178A6">
              <w:rPr>
                <w:rFonts w:ascii="Times New Roman" w:hAnsi="Times New Roman"/>
                <w:sz w:val="22"/>
                <w:szCs w:val="22"/>
              </w:rPr>
              <w:t xml:space="preserve">nesse ofício a proposta </w:t>
            </w:r>
            <w:r w:rsidRPr="00C178A6">
              <w:rPr>
                <w:rFonts w:ascii="Times New Roman" w:hAnsi="Times New Roman"/>
                <w:sz w:val="22"/>
                <w:szCs w:val="22"/>
              </w:rPr>
              <w:t xml:space="preserve">de reformulação da Lei da nº 10.257/2017 e os procedimentos para aprovação dos Planos Diretores. 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C178A6" w:rsidRDefault="007F0110" w:rsidP="00C178A6">
            <w:pPr>
              <w:rPr>
                <w:rFonts w:ascii="Times New Roman" w:hAnsi="Times New Roman"/>
                <w:sz w:val="22"/>
                <w:szCs w:val="22"/>
              </w:rPr>
            </w:pPr>
            <w:r w:rsidRPr="00C178A6">
              <w:rPr>
                <w:rFonts w:ascii="Times New Roman" w:hAnsi="Times New Roman"/>
                <w:sz w:val="22"/>
                <w:szCs w:val="22"/>
              </w:rPr>
              <w:t xml:space="preserve">Elaborar </w:t>
            </w:r>
            <w:r w:rsidR="00C178A6" w:rsidRPr="00C178A6">
              <w:rPr>
                <w:rFonts w:ascii="Times New Roman" w:hAnsi="Times New Roman"/>
                <w:sz w:val="22"/>
                <w:szCs w:val="22"/>
              </w:rPr>
              <w:t xml:space="preserve">ofício </w:t>
            </w:r>
            <w:r w:rsidRPr="00C178A6">
              <w:rPr>
                <w:rFonts w:ascii="Times New Roman" w:hAnsi="Times New Roman"/>
                <w:sz w:val="22"/>
                <w:szCs w:val="22"/>
              </w:rPr>
              <w:t>destinad</w:t>
            </w:r>
            <w:r w:rsidR="00C178A6" w:rsidRPr="00C178A6">
              <w:rPr>
                <w:rFonts w:ascii="Times New Roman" w:hAnsi="Times New Roman"/>
                <w:sz w:val="22"/>
                <w:szCs w:val="22"/>
              </w:rPr>
              <w:t>o</w:t>
            </w:r>
            <w:r w:rsidRPr="00C178A6">
              <w:rPr>
                <w:rFonts w:ascii="Times New Roman" w:hAnsi="Times New Roman"/>
                <w:sz w:val="22"/>
                <w:szCs w:val="22"/>
              </w:rPr>
              <w:t xml:space="preserve"> aos candidatos e órgãos/entidades</w:t>
            </w:r>
            <w:r w:rsidR="005E119A">
              <w:rPr>
                <w:rFonts w:ascii="Times New Roman" w:hAnsi="Times New Roman"/>
                <w:sz w:val="22"/>
                <w:szCs w:val="22"/>
              </w:rPr>
              <w:t xml:space="preserve"> e apresentar na </w:t>
            </w:r>
            <w:r w:rsidR="00C178A6" w:rsidRPr="00C178A6">
              <w:rPr>
                <w:rFonts w:ascii="Times New Roman" w:hAnsi="Times New Roman"/>
                <w:sz w:val="22"/>
                <w:szCs w:val="22"/>
              </w:rPr>
              <w:t>próxima reunião.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C178A6" w:rsidRDefault="007F0110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178A6">
              <w:rPr>
                <w:rFonts w:ascii="Times New Roman" w:eastAsia="MS Mincho" w:hAnsi="Times New Roman"/>
                <w:sz w:val="22"/>
                <w:szCs w:val="22"/>
              </w:rPr>
              <w:t>Josiane Bernardi | Tales Völker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741975" w:rsidRDefault="00741975" w:rsidP="006A17D9">
            <w:pPr>
              <w:pStyle w:val="PargrafodaLista"/>
              <w:numPr>
                <w:ilvl w:val="0"/>
                <w:numId w:val="19"/>
              </w:numPr>
              <w:ind w:left="303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>Explanação sobre a estrutura da Comissão em outros CAU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9613E8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9613E8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7F0110" w:rsidRPr="004303BE" w:rsidTr="009613E8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7F0110" w:rsidRDefault="007F0110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0110" w:rsidRPr="00044DD9" w:rsidRDefault="007F0110" w:rsidP="00132E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Vinícius fala sobre a contratação de um Gerent</w:t>
            </w:r>
            <w:r w:rsidR="00132EF4">
              <w:rPr>
                <w:rFonts w:ascii="Times New Roman" w:hAnsi="Times New Roman"/>
                <w:sz w:val="22"/>
                <w:szCs w:val="22"/>
              </w:rPr>
              <w:t>e de Planejamento, que se reunirá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as Comissões no período de 19 a 23/02</w:t>
            </w:r>
            <w:r w:rsidR="00132EF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4C52" w:rsidRPr="00CF679F" w:rsidRDefault="007F0110" w:rsidP="00132EF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Pautar </w:t>
            </w:r>
            <w:r w:rsidR="00132EF4">
              <w:rPr>
                <w:rFonts w:ascii="Times New Roman" w:eastAsia="MS Mincho" w:hAnsi="Times New Roman"/>
                <w:sz w:val="22"/>
                <w:szCs w:val="22"/>
              </w:rPr>
              <w:t xml:space="preserve">o assunto para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próxima reunião, visto a ausência </w:t>
            </w:r>
            <w:r w:rsidR="009613E8">
              <w:rPr>
                <w:rFonts w:ascii="Times New Roman" w:eastAsia="MS Mincho" w:hAnsi="Times New Roman"/>
                <w:sz w:val="22"/>
                <w:szCs w:val="22"/>
              </w:rPr>
              <w:t>do Gerente Tales.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F42418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741975" w:rsidRDefault="00741975" w:rsidP="006A17D9">
            <w:pPr>
              <w:pStyle w:val="PargrafodaLista"/>
              <w:numPr>
                <w:ilvl w:val="0"/>
                <w:numId w:val="19"/>
              </w:numPr>
              <w:ind w:left="303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Plano de Ação da CPUA-CAU/MG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4B5E6C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4B5E6C" w:rsidP="006331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  <w:tr w:rsidR="004B5E6C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B5E6C" w:rsidRDefault="004B5E6C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0F80" w:rsidRDefault="00132EF4" w:rsidP="00132E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</w:t>
            </w:r>
            <w:r w:rsidR="004B5E6C">
              <w:rPr>
                <w:rFonts w:ascii="Times New Roman" w:hAnsi="Times New Roman"/>
                <w:sz w:val="22"/>
                <w:szCs w:val="22"/>
              </w:rPr>
              <w:t xml:space="preserve">hefe de </w:t>
            </w:r>
            <w:r>
              <w:rPr>
                <w:rFonts w:ascii="Times New Roman" w:hAnsi="Times New Roman"/>
                <w:sz w:val="22"/>
                <w:szCs w:val="22"/>
              </w:rPr>
              <w:t>g</w:t>
            </w:r>
            <w:r w:rsidR="004B5E6C">
              <w:rPr>
                <w:rFonts w:ascii="Times New Roman" w:hAnsi="Times New Roman"/>
                <w:sz w:val="22"/>
                <w:szCs w:val="22"/>
              </w:rPr>
              <w:t xml:space="preserve">abinete </w:t>
            </w:r>
            <w:r>
              <w:rPr>
                <w:rFonts w:ascii="Times New Roman" w:hAnsi="Times New Roman"/>
                <w:sz w:val="22"/>
                <w:szCs w:val="22"/>
              </w:rPr>
              <w:t>informa q</w:t>
            </w:r>
            <w:r w:rsidR="004B5E6C">
              <w:rPr>
                <w:rFonts w:ascii="Times New Roman" w:hAnsi="Times New Roman"/>
                <w:sz w:val="22"/>
                <w:szCs w:val="22"/>
              </w:rPr>
              <w:t>ue enviou o material à Comissão, mas 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 trata de documento da gestão anterior. B</w:t>
            </w:r>
            <w:r w:rsidR="004B5E6C">
              <w:rPr>
                <w:rFonts w:ascii="Times New Roman" w:hAnsi="Times New Roman"/>
                <w:sz w:val="22"/>
                <w:szCs w:val="22"/>
              </w:rPr>
              <w:t>uscará o Plano desta Gestão junto ao CAU/MG e outros com estrutura similar.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85082" w:rsidRPr="00085082" w:rsidRDefault="000554A8" w:rsidP="00C178A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junto aos CAU/UF a disponibilização do Plano de Ação voltado às Políticas Urbana</w:t>
            </w:r>
            <w:r w:rsidR="00C178A6">
              <w:rPr>
                <w:rFonts w:ascii="Times New Roman" w:eastAsia="MS Mincho" w:hAnsi="Times New Roman"/>
                <w:sz w:val="22"/>
                <w:szCs w:val="22"/>
              </w:rPr>
              <w:t xml:space="preserve"> e Ambiental.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0554A8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A17D9" w:rsidRPr="004303BE" w:rsidRDefault="006A17D9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C50A6" w:rsidRPr="004303BE" w:rsidRDefault="009C50A6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741975" w:rsidRDefault="00741975" w:rsidP="0074197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>Retorno sobre a formalização da composição da Comissão ao CAU/BR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F43B18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F43B18" w:rsidP="00F43B18">
            <w:pPr>
              <w:rPr>
                <w:rFonts w:ascii="Times New Roman" w:hAnsi="Times New Roman"/>
                <w:sz w:val="22"/>
                <w:szCs w:val="22"/>
              </w:rPr>
            </w:pPr>
            <w:r w:rsidRPr="00F43B18"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  <w:tr w:rsidR="00F43B18" w:rsidRPr="004303BE" w:rsidTr="00B9534A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43B18" w:rsidRDefault="00F43B18" w:rsidP="00B95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3B18" w:rsidRDefault="00F43B18" w:rsidP="00F43B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chefe de gabinete informa que foram enviados ofícios circulares aos CAU/UF e ao CAU/BR informando acerca da composição da nova gestão, bem como das Comissões Permanentes e Especial.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6A9E" w:rsidRPr="004303BE" w:rsidRDefault="00F43B18" w:rsidP="009C50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Somente informe</w:t>
            </w:r>
          </w:p>
        </w:tc>
      </w:tr>
      <w:tr w:rsidR="006A17D9" w:rsidRPr="00EE63B6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F3B5D" w:rsidRPr="007434BA" w:rsidRDefault="008F3B5D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41975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1975" w:rsidRPr="00741975" w:rsidRDefault="00741975" w:rsidP="0074197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agenda da CPUA-CAU/BR para 2018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085082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085082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6A17D9" w:rsidRPr="004303BE" w:rsidTr="004E5DD1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17D9" w:rsidRPr="004303BE" w:rsidRDefault="00085082" w:rsidP="0092695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reunião, visto que o Gerente Tales está ausente.</w:t>
            </w:r>
          </w:p>
        </w:tc>
      </w:tr>
      <w:tr w:rsidR="008F3B5D" w:rsidRPr="004303BE" w:rsidTr="004E5DD1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F3B5D" w:rsidRDefault="008F3B5D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984129" w:rsidRPr="004303BE" w:rsidRDefault="00085082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4E5DD1" w:rsidRPr="004303BE" w:rsidTr="004E5DD1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E5DD1" w:rsidRPr="004E5DD1" w:rsidRDefault="004E5DD1" w:rsidP="004E5D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E5DD1" w:rsidRPr="004303BE" w:rsidTr="004E5DD1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4E5DD1" w:rsidRDefault="00674F6E" w:rsidP="004E5DD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 – Conselho municipal de Desenvolvimento Integrado de Passo Fundo e Similares</w:t>
            </w:r>
          </w:p>
        </w:tc>
      </w:tr>
      <w:tr w:rsidR="004E5DD1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551153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5DD1" w:rsidRPr="00044DD9" w:rsidRDefault="00F43B18" w:rsidP="00926D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4E5DD1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551153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5DD1" w:rsidRPr="00044DD9" w:rsidRDefault="00F43B18" w:rsidP="00F43B18">
            <w:pPr>
              <w:rPr>
                <w:rFonts w:ascii="Times New Roman" w:hAnsi="Times New Roman"/>
                <w:sz w:val="22"/>
                <w:szCs w:val="22"/>
              </w:rPr>
            </w:pPr>
            <w:r w:rsidRPr="00F43B18"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  <w:tr w:rsidR="00F43B18" w:rsidRPr="004303BE" w:rsidTr="00B9534A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43B18" w:rsidRDefault="00F43B18" w:rsidP="00B953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3B18" w:rsidRDefault="00F43B18" w:rsidP="00724E2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chefe de gabinete informa que o arquiteto e urbanista Nino Machado, encaminhou e-mail sugerindo que o CAU/RS apresentasse candidatura ao CMDI-PF, tendo em vista a importância do referido Conselho. Salienta que a cadeira foi solicitada por e-mail, sendo indicados o Conselheiro Rodrigo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Pitzer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como representante titular e 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ex-conselheiro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Nino Machado, como suplente.</w:t>
            </w:r>
          </w:p>
        </w:tc>
      </w:tr>
      <w:tr w:rsidR="004E5DD1" w:rsidRPr="004303BE" w:rsidTr="004E5DD1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551153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5DD1" w:rsidRPr="004303BE" w:rsidRDefault="00724E2F" w:rsidP="00926D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retorno.</w:t>
            </w:r>
          </w:p>
        </w:tc>
      </w:tr>
      <w:tr w:rsidR="004E5DD1" w:rsidRPr="004303BE" w:rsidTr="004E5DD1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4E5DD1" w:rsidRPr="004303BE" w:rsidRDefault="00724E2F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24E2F"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</w:tr>
      <w:tr w:rsidR="004E5DD1" w:rsidRPr="004303BE" w:rsidTr="004E5DD1">
        <w:trPr>
          <w:gridBefore w:val="1"/>
          <w:wBefore w:w="65" w:type="dxa"/>
          <w:trHeight w:val="381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E5DD1" w:rsidRPr="00741975" w:rsidRDefault="004E5DD1" w:rsidP="004E5DD1">
            <w:pPr>
              <w:pStyle w:val="PargrafodaLista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E5DD1" w:rsidRPr="004303BE" w:rsidTr="004E5DD1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4E5DD1" w:rsidRDefault="00674F6E" w:rsidP="004E5DD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 CEP-CAU/RS nº 002/2018: Planejamento Urbano e Ambiental</w:t>
            </w:r>
          </w:p>
        </w:tc>
      </w:tr>
      <w:tr w:rsidR="004E5DD1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551153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5DD1" w:rsidRPr="00044DD9" w:rsidRDefault="00675FB9" w:rsidP="00926D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CEP-CAU/RS</w:t>
            </w:r>
          </w:p>
        </w:tc>
      </w:tr>
      <w:tr w:rsidR="004E5DD1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551153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5DD1" w:rsidRPr="00044DD9" w:rsidRDefault="00675FB9" w:rsidP="00926D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Vinícius Vieira de Souza</w:t>
            </w:r>
          </w:p>
        </w:tc>
      </w:tr>
      <w:tr w:rsidR="00675FB9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75FB9" w:rsidRDefault="00675FB9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5FB9" w:rsidRDefault="00675FB9" w:rsidP="000850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Vinícius faz a leitura do memorando e, após discussão com a participação do Coord. Jurídico Cézar, a Comissão decide:</w:t>
            </w:r>
          </w:p>
          <w:p w:rsidR="00675FB9" w:rsidRDefault="00675FB9" w:rsidP="00C178A6">
            <w:pPr>
              <w:pStyle w:val="PargrafodaLista"/>
              <w:numPr>
                <w:ilvl w:val="0"/>
                <w:numId w:val="3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Responder à CEP o acatamento da proposta e que, após a realização do Plano de Ação</w:t>
            </w:r>
            <w:r w:rsidR="00C178A6">
              <w:rPr>
                <w:rFonts w:ascii="Times New Roman" w:hAnsi="Times New Roman"/>
                <w:sz w:val="22"/>
                <w:szCs w:val="22"/>
              </w:rPr>
              <w:t>, a Comissão se</w:t>
            </w:r>
            <w:r w:rsidR="00085082">
              <w:rPr>
                <w:rFonts w:ascii="Times New Roman" w:hAnsi="Times New Roman"/>
                <w:sz w:val="22"/>
                <w:szCs w:val="22"/>
              </w:rPr>
              <w:t xml:space="preserve"> manifestará no sentido de agendar reunião com a CEP/RS.</w:t>
            </w:r>
          </w:p>
        </w:tc>
      </w:tr>
      <w:tr w:rsidR="004E5DD1" w:rsidRPr="004303BE" w:rsidTr="00926D24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Pr="00551153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5DD1" w:rsidRPr="00085082" w:rsidRDefault="00085082" w:rsidP="0008508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Redigir Memorando à CEP/RS conforme definido pela Comissão.</w:t>
            </w:r>
          </w:p>
        </w:tc>
      </w:tr>
      <w:tr w:rsidR="004E5DD1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E5DD1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4E5DD1" w:rsidRPr="004303BE" w:rsidRDefault="00085082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741975" w:rsidRPr="004303BE" w:rsidTr="00984129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4E5DD1" w:rsidRDefault="004E5DD1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741975" w:rsidRPr="004303BE" w:rsidRDefault="00741975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975" w:rsidRPr="004303BE" w:rsidTr="00E9378F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41975" w:rsidRDefault="00741975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3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41975" w:rsidRPr="004303BE" w:rsidRDefault="00741975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975" w:rsidRPr="004303BE" w:rsidTr="00E9378F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1975" w:rsidRPr="00741975" w:rsidRDefault="00741975" w:rsidP="00DC5019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41975" w:rsidRPr="004303BE" w:rsidRDefault="00741975" w:rsidP="006A17D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A17D9" w:rsidRPr="00EE63B6" w:rsidTr="0074197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91511C" w:rsidRDefault="0091511C" w:rsidP="0091511C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 nº 013/2017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91511C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A17D9" w:rsidRPr="00044DD9" w:rsidRDefault="0091511C" w:rsidP="006A17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Coord. Vinícius Vieira de Souza</w:t>
            </w:r>
          </w:p>
        </w:tc>
      </w:tr>
      <w:tr w:rsidR="0091511C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1511C" w:rsidRDefault="0091511C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580A" w:rsidRDefault="0091511C" w:rsidP="001558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faz a leitura da Instrução Normativa</w:t>
            </w:r>
            <w:r w:rsidR="00E73DC8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3DC8">
              <w:rPr>
                <w:rFonts w:ascii="Times New Roman" w:hAnsi="Times New Roman"/>
                <w:sz w:val="22"/>
                <w:szCs w:val="22"/>
              </w:rPr>
              <w:t xml:space="preserve">que trata das representações do CAU/RS, </w:t>
            </w:r>
            <w:r w:rsidR="0015580A">
              <w:rPr>
                <w:rFonts w:ascii="Times New Roman" w:hAnsi="Times New Roman"/>
                <w:sz w:val="22"/>
                <w:szCs w:val="22"/>
              </w:rPr>
              <w:t>e os conselheiros entendem a necessidade de se aprofundar no assunto, visto que caberá à Comissão a indicação</w:t>
            </w:r>
            <w:r w:rsidR="00E73DC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1511C" w:rsidRDefault="0015580A" w:rsidP="004942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Os conselheiros solicitam</w:t>
            </w:r>
            <w:r w:rsidR="0091511C">
              <w:rPr>
                <w:rFonts w:ascii="Times New Roman" w:hAnsi="Times New Roman"/>
                <w:sz w:val="22"/>
                <w:szCs w:val="22"/>
              </w:rPr>
              <w:t xml:space="preserve"> que o tema seja pautado na próxima reunião, já trazendo a proposta de relat</w:t>
            </w:r>
            <w:r w:rsidR="00B21343">
              <w:rPr>
                <w:rFonts w:ascii="Times New Roman" w:hAnsi="Times New Roman"/>
                <w:sz w:val="22"/>
                <w:szCs w:val="22"/>
              </w:rPr>
              <w:t xml:space="preserve">ório, os </w:t>
            </w:r>
            <w:r w:rsidR="0091511C">
              <w:rPr>
                <w:rFonts w:ascii="Times New Roman" w:hAnsi="Times New Roman"/>
                <w:sz w:val="22"/>
                <w:szCs w:val="22"/>
              </w:rPr>
              <w:t>novos procedimentos</w:t>
            </w:r>
            <w:r w:rsidR="00B21343">
              <w:rPr>
                <w:rFonts w:ascii="Times New Roman" w:hAnsi="Times New Roman"/>
                <w:sz w:val="22"/>
                <w:szCs w:val="22"/>
              </w:rPr>
              <w:t xml:space="preserve"> e uma orientação </w:t>
            </w:r>
            <w:r w:rsidR="000C60AD">
              <w:rPr>
                <w:rFonts w:ascii="Times New Roman" w:hAnsi="Times New Roman"/>
                <w:sz w:val="22"/>
                <w:szCs w:val="22"/>
              </w:rPr>
              <w:t xml:space="preserve">jurídica quanto à representação, preferencialmente </w:t>
            </w:r>
            <w:r w:rsidR="00B21343">
              <w:rPr>
                <w:rFonts w:ascii="Times New Roman" w:hAnsi="Times New Roman"/>
                <w:sz w:val="22"/>
                <w:szCs w:val="22"/>
              </w:rPr>
              <w:t>ser feita por funcionário público</w:t>
            </w:r>
            <w:r w:rsidR="0049425F">
              <w:rPr>
                <w:rFonts w:ascii="Times New Roman" w:hAnsi="Times New Roman"/>
                <w:sz w:val="22"/>
                <w:szCs w:val="22"/>
              </w:rPr>
              <w:t xml:space="preserve"> por </w:t>
            </w:r>
            <w:r w:rsidR="00B94D9A">
              <w:rPr>
                <w:rFonts w:ascii="Times New Roman" w:hAnsi="Times New Roman"/>
                <w:sz w:val="22"/>
                <w:szCs w:val="22"/>
              </w:rPr>
              <w:t>tratar-se de representação honorífica.</w:t>
            </w:r>
          </w:p>
        </w:tc>
      </w:tr>
      <w:tr w:rsidR="006A17D9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A17D9" w:rsidRPr="00551153" w:rsidRDefault="006A17D9" w:rsidP="006A17D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066B" w:rsidRDefault="006D0EB2" w:rsidP="0063314D">
            <w:pPr>
              <w:pStyle w:val="PargrafodaLista"/>
              <w:numPr>
                <w:ilvl w:val="0"/>
                <w:numId w:val="34"/>
              </w:numPr>
              <w:ind w:left="252" w:hanging="25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31C8D">
              <w:rPr>
                <w:rFonts w:ascii="Times New Roman" w:eastAsia="MS Mincho" w:hAnsi="Times New Roman"/>
                <w:sz w:val="22"/>
                <w:szCs w:val="22"/>
              </w:rPr>
              <w:t>Pautar na próxima reunião da Comiss</w:t>
            </w:r>
            <w:r w:rsidR="00631C8D">
              <w:rPr>
                <w:rFonts w:ascii="Times New Roman" w:eastAsia="MS Mincho" w:hAnsi="Times New Roman"/>
                <w:sz w:val="22"/>
                <w:szCs w:val="22"/>
              </w:rPr>
              <w:t>ão (Carla Lago);</w:t>
            </w:r>
          </w:p>
          <w:p w:rsidR="00631C8D" w:rsidRPr="00631C8D" w:rsidRDefault="00631C8D" w:rsidP="0063314D">
            <w:pPr>
              <w:pStyle w:val="PargrafodaLista"/>
              <w:numPr>
                <w:ilvl w:val="0"/>
                <w:numId w:val="34"/>
              </w:numPr>
              <w:ind w:left="252" w:hanging="25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à Assessoria Jurídica a solicitação da Comissão (Josiane Bernardi).</w:t>
            </w:r>
          </w:p>
        </w:tc>
      </w:tr>
      <w:tr w:rsidR="008F3B5D" w:rsidRPr="004303BE" w:rsidTr="000C60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F3B5D" w:rsidRDefault="008F3B5D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3B5D" w:rsidRPr="004303BE" w:rsidRDefault="006D0EB2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  <w:r w:rsidR="00631C8D">
              <w:rPr>
                <w:rFonts w:ascii="Times New Roman" w:eastAsia="MS Mincho" w:hAnsi="Times New Roman"/>
                <w:sz w:val="22"/>
                <w:szCs w:val="22"/>
              </w:rPr>
              <w:t xml:space="preserve"> e Josiane Bernardi.</w:t>
            </w:r>
          </w:p>
        </w:tc>
      </w:tr>
      <w:tr w:rsidR="000C60AD" w:rsidRPr="004303BE" w:rsidTr="0009740E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auto"/>
          </w:tcPr>
          <w:p w:rsidR="000C60AD" w:rsidRDefault="000C60AD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41975" w:rsidRPr="00EE63B6" w:rsidTr="000C60AD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1975" w:rsidRPr="006D0EB2" w:rsidRDefault="00D5776B" w:rsidP="00D5776B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Representação no COESPPCI</w:t>
            </w:r>
          </w:p>
        </w:tc>
      </w:tr>
      <w:tr w:rsidR="00741975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1975" w:rsidRPr="00551153" w:rsidRDefault="00741975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1975" w:rsidRPr="00044DD9" w:rsidRDefault="00D5776B" w:rsidP="00926D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741975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1975" w:rsidRPr="00551153" w:rsidRDefault="00741975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1975" w:rsidRPr="00044DD9" w:rsidRDefault="00D5776B" w:rsidP="00926D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  <w:tr w:rsidR="00D5776B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5776B" w:rsidRDefault="00D5776B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5DD1" w:rsidRDefault="00D5776B" w:rsidP="004942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0F46DA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hefe de </w:t>
            </w:r>
            <w:r w:rsidR="000F46DA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abinete Josiane Bernardi verifica junto à Comissão, a pedido do Presidente, uma indicação de nome para representar o CAU/RS no COESPPCI. A Comissão sugere que a Josiane consulte o Cons. Federal Ednezer sobre sua disponibilidade em participar.</w:t>
            </w:r>
            <w:r w:rsidR="0049425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F46DA">
              <w:rPr>
                <w:rFonts w:ascii="Times New Roman" w:hAnsi="Times New Roman"/>
                <w:sz w:val="22"/>
                <w:szCs w:val="22"/>
              </w:rPr>
              <w:t xml:space="preserve">Ela </w:t>
            </w:r>
            <w:r w:rsidR="004E5DD1">
              <w:rPr>
                <w:rFonts w:ascii="Times New Roman" w:hAnsi="Times New Roman"/>
                <w:sz w:val="22"/>
                <w:szCs w:val="22"/>
              </w:rPr>
              <w:t>enviará aos conselheiros a listagem dos órgãos em que o CAU/RS tem representação</w:t>
            </w:r>
            <w:r w:rsidR="000C60A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41975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1975" w:rsidRPr="00551153" w:rsidRDefault="00741975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975" w:rsidRDefault="00D5776B" w:rsidP="0049425F">
            <w:pPr>
              <w:pStyle w:val="PargrafodaLista"/>
              <w:numPr>
                <w:ilvl w:val="0"/>
                <w:numId w:val="3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9425F">
              <w:rPr>
                <w:rFonts w:ascii="Times New Roman" w:eastAsia="MS Mincho" w:hAnsi="Times New Roman"/>
                <w:sz w:val="22"/>
                <w:szCs w:val="22"/>
              </w:rPr>
              <w:t>Consultar o Cons. Fed. Ednezer sobre a d</w:t>
            </w:r>
            <w:r w:rsidR="0049425F">
              <w:rPr>
                <w:rFonts w:ascii="Times New Roman" w:eastAsia="MS Mincho" w:hAnsi="Times New Roman"/>
                <w:sz w:val="22"/>
                <w:szCs w:val="22"/>
              </w:rPr>
              <w:t>isponibilidade de representação;</w:t>
            </w:r>
          </w:p>
          <w:p w:rsidR="0049425F" w:rsidRPr="0049425F" w:rsidRDefault="0049425F" w:rsidP="0049425F">
            <w:pPr>
              <w:pStyle w:val="PargrafodaLista"/>
              <w:numPr>
                <w:ilvl w:val="0"/>
                <w:numId w:val="34"/>
              </w:numPr>
              <w:tabs>
                <w:tab w:val="left" w:pos="252"/>
              </w:tabs>
              <w:ind w:left="0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listagem dos assentos de representação do CAU/RS.</w:t>
            </w:r>
          </w:p>
        </w:tc>
      </w:tr>
      <w:tr w:rsidR="00741975" w:rsidRPr="004303BE" w:rsidTr="00741975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41975" w:rsidRDefault="00741975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741975" w:rsidRPr="004303BE" w:rsidRDefault="00D5776B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</w:tr>
      <w:tr w:rsidR="000C60AD" w:rsidRPr="004303BE" w:rsidTr="000C60AD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auto"/>
          </w:tcPr>
          <w:p w:rsidR="000C60AD" w:rsidRDefault="000C60AD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85082" w:rsidRPr="00EE63B6" w:rsidTr="00926D24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5082" w:rsidRPr="00085082" w:rsidRDefault="00085082" w:rsidP="0023742A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Edita</w:t>
            </w:r>
            <w:r w:rsidR="0023742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do CMDUA de Porto Alegre</w:t>
            </w:r>
          </w:p>
        </w:tc>
      </w:tr>
      <w:tr w:rsidR="00085082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5082" w:rsidRPr="00551153" w:rsidRDefault="00085082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5082" w:rsidRPr="00044DD9" w:rsidRDefault="00085082" w:rsidP="00926D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085082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5082" w:rsidRPr="00551153" w:rsidRDefault="00085082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5082" w:rsidRPr="00044DD9" w:rsidRDefault="00085082" w:rsidP="00926D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Cézar Rieger</w:t>
            </w:r>
          </w:p>
        </w:tc>
      </w:tr>
      <w:tr w:rsidR="00085082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5082" w:rsidRDefault="00085082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85082" w:rsidRDefault="00085082" w:rsidP="0008508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coordenador Cézar Rieger esclarece que a Assessoria </w:t>
            </w:r>
            <w:r w:rsidR="00897825">
              <w:rPr>
                <w:rFonts w:ascii="Times New Roman" w:hAnsi="Times New Roman"/>
                <w:sz w:val="22"/>
                <w:szCs w:val="22"/>
              </w:rPr>
              <w:t xml:space="preserve">Jurídica </w:t>
            </w:r>
            <w:r>
              <w:rPr>
                <w:rFonts w:ascii="Times New Roman" w:hAnsi="Times New Roman"/>
                <w:sz w:val="22"/>
                <w:szCs w:val="22"/>
              </w:rPr>
              <w:t>recebeu a solicitação de participação do CAU/RS no Conselho Municipal de Desenvolvimento Urbano e Ambienta da Capital. Fala que já levantou os documentos solicitados no edital, mas que ainda há pendências.</w:t>
            </w:r>
            <w:r w:rsidR="00897825">
              <w:rPr>
                <w:rFonts w:ascii="Times New Roman" w:hAnsi="Times New Roman"/>
                <w:sz w:val="22"/>
                <w:szCs w:val="22"/>
              </w:rPr>
              <w:t xml:space="preserve"> Explica </w:t>
            </w:r>
            <w:r>
              <w:rPr>
                <w:rFonts w:ascii="Times New Roman" w:hAnsi="Times New Roman"/>
                <w:sz w:val="22"/>
                <w:szCs w:val="22"/>
              </w:rPr>
              <w:t>que há dúvidas em relação ao edital e, por esse motivo, foi feito contato com o Secretário Municipal solicitando esclarecimentos.</w:t>
            </w:r>
          </w:p>
          <w:p w:rsidR="0023742A" w:rsidRPr="00897825" w:rsidRDefault="00E66FAF" w:rsidP="004942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pede </w:t>
            </w:r>
            <w:r w:rsidR="00897825">
              <w:rPr>
                <w:rFonts w:ascii="Times New Roman" w:hAnsi="Times New Roman"/>
                <w:sz w:val="22"/>
                <w:szCs w:val="22"/>
              </w:rPr>
              <w:t>o envio 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documentação solicitada no edital e, ao mesmo tempo, </w:t>
            </w:r>
            <w:r w:rsidR="0049425F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897825">
              <w:rPr>
                <w:rFonts w:ascii="Times New Roman" w:hAnsi="Times New Roman"/>
                <w:sz w:val="22"/>
                <w:szCs w:val="22"/>
              </w:rPr>
              <w:t>seja elaborada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manifestação direcionada ao Prefeito.</w:t>
            </w:r>
          </w:p>
        </w:tc>
      </w:tr>
      <w:tr w:rsidR="00085082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5082" w:rsidRPr="00551153" w:rsidRDefault="00085082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7825" w:rsidRDefault="00897825" w:rsidP="008C13E8">
            <w:pPr>
              <w:pStyle w:val="PargrafodaLista"/>
              <w:numPr>
                <w:ilvl w:val="0"/>
                <w:numId w:val="34"/>
              </w:numPr>
              <w:tabs>
                <w:tab w:val="left" w:pos="252"/>
              </w:tabs>
              <w:ind w:left="0" w:hanging="3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Impugnação do edital;</w:t>
            </w:r>
          </w:p>
          <w:p w:rsidR="00897825" w:rsidRDefault="00897825" w:rsidP="008C13E8">
            <w:pPr>
              <w:pStyle w:val="PargrafodaLista"/>
              <w:numPr>
                <w:ilvl w:val="0"/>
                <w:numId w:val="34"/>
              </w:numPr>
              <w:tabs>
                <w:tab w:val="left" w:pos="252"/>
              </w:tabs>
              <w:ind w:left="0" w:hanging="3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Inscrição do CAU/RS para o referido Conselho (edital);</w:t>
            </w:r>
          </w:p>
          <w:p w:rsidR="00897825" w:rsidRPr="00741975" w:rsidRDefault="00897825" w:rsidP="008C13E8">
            <w:pPr>
              <w:pStyle w:val="PargrafodaLista"/>
              <w:numPr>
                <w:ilvl w:val="0"/>
                <w:numId w:val="34"/>
              </w:numPr>
              <w:tabs>
                <w:tab w:val="left" w:pos="252"/>
              </w:tabs>
              <w:ind w:left="0" w:hanging="3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97825">
              <w:rPr>
                <w:rFonts w:ascii="Times New Roman" w:hAnsi="Times New Roman"/>
                <w:sz w:val="22"/>
                <w:szCs w:val="22"/>
              </w:rPr>
              <w:t>Pleito a uma vaga permanente no Conselho.</w:t>
            </w:r>
          </w:p>
        </w:tc>
      </w:tr>
      <w:tr w:rsidR="00085082" w:rsidRPr="004303BE" w:rsidTr="00926D24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85082" w:rsidRDefault="00085082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085082" w:rsidRPr="004303BE" w:rsidRDefault="0061735A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  <w:tr w:rsidR="00897825" w:rsidRPr="00EE63B6" w:rsidTr="00897825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97825" w:rsidRPr="00897825" w:rsidRDefault="00897825" w:rsidP="008978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61735A" w:rsidRPr="00EE63B6" w:rsidTr="00581B46">
        <w:trPr>
          <w:gridBefore w:val="1"/>
          <w:wBefore w:w="65" w:type="dxa"/>
        </w:trPr>
        <w:tc>
          <w:tcPr>
            <w:tcW w:w="934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1735A" w:rsidRPr="0061735A" w:rsidRDefault="00AB5337" w:rsidP="0061735A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Divulgação de eventos relacionados à Comissão</w:t>
            </w:r>
          </w:p>
        </w:tc>
      </w:tr>
      <w:tr w:rsidR="0061735A" w:rsidRPr="004303BE" w:rsidTr="00581B46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1735A" w:rsidRPr="00551153" w:rsidRDefault="0061735A" w:rsidP="00581B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35A" w:rsidRPr="00044DD9" w:rsidRDefault="00AB5337" w:rsidP="00581B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61735A" w:rsidRPr="004303BE" w:rsidTr="00581B46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1735A" w:rsidRPr="00551153" w:rsidRDefault="0061735A" w:rsidP="00581B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35A" w:rsidRPr="00044DD9" w:rsidRDefault="00AB5337" w:rsidP="0089782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</w:t>
            </w:r>
            <w:r w:rsidR="00897825">
              <w:rPr>
                <w:rFonts w:ascii="Times New Roman" w:hAnsi="Times New Roman"/>
                <w:sz w:val="22"/>
                <w:szCs w:val="22"/>
              </w:rPr>
              <w:t>elheira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Priscila Quesada</w:t>
            </w:r>
          </w:p>
        </w:tc>
      </w:tr>
      <w:tr w:rsidR="0061735A" w:rsidRPr="004303BE" w:rsidTr="00581B46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1735A" w:rsidRDefault="0061735A" w:rsidP="00581B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35A" w:rsidRDefault="00AB5337" w:rsidP="00581B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conselheira </w:t>
            </w:r>
            <w:r w:rsidR="008C13E8">
              <w:rPr>
                <w:rFonts w:ascii="Times New Roman" w:hAnsi="Times New Roman"/>
                <w:sz w:val="22"/>
                <w:szCs w:val="22"/>
              </w:rPr>
              <w:t xml:space="preserve">Priscila </w:t>
            </w:r>
            <w:r w:rsidR="00897825">
              <w:rPr>
                <w:rFonts w:ascii="Times New Roman" w:hAnsi="Times New Roman"/>
                <w:sz w:val="22"/>
                <w:szCs w:val="22"/>
              </w:rPr>
              <w:t>questiona como é feita a divulgação dos eventos relacionados à arquit</w:t>
            </w:r>
            <w:r w:rsidR="000F46DA">
              <w:rPr>
                <w:rFonts w:ascii="Times New Roman" w:hAnsi="Times New Roman"/>
                <w:sz w:val="22"/>
                <w:szCs w:val="22"/>
              </w:rPr>
              <w:t>et</w:t>
            </w:r>
            <w:r w:rsidR="00897825">
              <w:rPr>
                <w:rFonts w:ascii="Times New Roman" w:hAnsi="Times New Roman"/>
                <w:sz w:val="22"/>
                <w:szCs w:val="22"/>
              </w:rPr>
              <w:t>ura realizados no Estado.</w:t>
            </w:r>
            <w:r w:rsidR="000F46DA">
              <w:rPr>
                <w:rFonts w:ascii="Times New Roman" w:hAnsi="Times New Roman"/>
                <w:sz w:val="22"/>
                <w:szCs w:val="22"/>
              </w:rPr>
              <w:t xml:space="preserve"> A chefe de gabinete Josiane esclarece que os eventos são divulgados no site do CAU à medida que chegam ao conhecimento da Assessoria de Comunicação</w:t>
            </w:r>
            <w:r w:rsidR="008C13E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B5337" w:rsidRDefault="008C13E8" w:rsidP="004942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conselheira pergunta sobre a possibilidade de se criar uma listagem com todos os eventos, a fim de que os conselheiros tenham conhecimento. A Josiane diz que o CAU toma conhecimento dos eventos por intermédio dos conselheiros</w:t>
            </w:r>
            <w:r w:rsidR="00DB5459">
              <w:rPr>
                <w:rFonts w:ascii="Times New Roman" w:hAnsi="Times New Roman"/>
                <w:sz w:val="22"/>
                <w:szCs w:val="22"/>
              </w:rPr>
              <w:t xml:space="preserve"> e através de solicitações de participação que chegam à Presidência. Por tratar-se de informações pulverizadas, é difícil para o Conselho </w:t>
            </w:r>
            <w:r w:rsidR="0049425F">
              <w:rPr>
                <w:rFonts w:ascii="Times New Roman" w:hAnsi="Times New Roman"/>
                <w:sz w:val="22"/>
                <w:szCs w:val="22"/>
              </w:rPr>
              <w:t xml:space="preserve">acessá-las </w:t>
            </w:r>
            <w:r w:rsidR="00DB5459">
              <w:rPr>
                <w:rFonts w:ascii="Times New Roman" w:hAnsi="Times New Roman"/>
                <w:sz w:val="22"/>
                <w:szCs w:val="22"/>
              </w:rPr>
              <w:t xml:space="preserve">em todo o Estado, mas diz que </w:t>
            </w:r>
            <w:r w:rsidR="0049425F">
              <w:rPr>
                <w:rFonts w:ascii="Times New Roman" w:hAnsi="Times New Roman"/>
                <w:sz w:val="22"/>
                <w:szCs w:val="22"/>
              </w:rPr>
              <w:t>aqueles que têm agenda fixa habitualmente são publicados no site do CAU/RS.</w:t>
            </w:r>
          </w:p>
        </w:tc>
      </w:tr>
      <w:tr w:rsidR="0061735A" w:rsidRPr="004303BE" w:rsidTr="00581B46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1735A" w:rsidRPr="00551153" w:rsidRDefault="0061735A" w:rsidP="00581B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735A" w:rsidRPr="008C13E8" w:rsidRDefault="008C13E8" w:rsidP="00581B4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13E8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61735A" w:rsidRPr="004303BE" w:rsidTr="00581B46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1735A" w:rsidRDefault="0061735A" w:rsidP="00581B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61735A" w:rsidRPr="008C13E8" w:rsidRDefault="008C13E8" w:rsidP="00581B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13E8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75" w:rsidRPr="00741975" w:rsidRDefault="00741975" w:rsidP="007419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1975" w:rsidRPr="00741975" w:rsidRDefault="00741975" w:rsidP="007419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41975" w:rsidRPr="00741975" w:rsidRDefault="00741975" w:rsidP="00DC5019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41975" w:rsidRPr="00741975" w:rsidRDefault="00926D24" w:rsidP="00741975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Apresentação da</w:t>
            </w:r>
            <w:r w:rsidRPr="004B5E6C">
              <w:rPr>
                <w:rFonts w:ascii="Times New Roman" w:hAnsi="Times New Roman"/>
                <w:sz w:val="22"/>
                <w:szCs w:val="22"/>
              </w:rPr>
              <w:t xml:space="preserve"> carta destinada aos candidatos e órgãos/entidades.</w:t>
            </w: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41975" w:rsidRPr="00741975" w:rsidRDefault="00741975" w:rsidP="007419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41975" w:rsidRPr="00741975" w:rsidRDefault="00926D24" w:rsidP="007419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CPUA-CAU/RS</w:t>
            </w: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1975" w:rsidRPr="004C5183" w:rsidRDefault="00741975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975" w:rsidRPr="004C5183" w:rsidRDefault="00926D24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1975" w:rsidRPr="00741975" w:rsidRDefault="00926D24" w:rsidP="00741975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>Explanação sobre a estrutura da Comissão em outros CAU</w:t>
            </w: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1975" w:rsidRPr="004C5183" w:rsidRDefault="00741975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975" w:rsidRPr="004C5183" w:rsidRDefault="00926D24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741975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41975" w:rsidRPr="004C5183" w:rsidRDefault="00926D2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41975" w:rsidRPr="004C5183" w:rsidRDefault="00926D24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 | Tales Völker</w:t>
            </w:r>
          </w:p>
        </w:tc>
      </w:tr>
      <w:tr w:rsidR="00926D24" w:rsidRPr="004C5183" w:rsidTr="00926D24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D24" w:rsidRPr="00926D24" w:rsidRDefault="00926D24" w:rsidP="00926D24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do Plano de 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da CPUA de outros CAU/UF</w:t>
            </w:r>
          </w:p>
        </w:tc>
      </w:tr>
      <w:tr w:rsidR="00926D24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D24" w:rsidRPr="004C5183" w:rsidRDefault="00926D2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D24" w:rsidRPr="004C5183" w:rsidRDefault="00926D24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926D24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D24" w:rsidRPr="004C5183" w:rsidRDefault="00926D2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D24" w:rsidRPr="004C5183" w:rsidRDefault="00926D24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 | Tales Völker</w:t>
            </w:r>
          </w:p>
        </w:tc>
      </w:tr>
      <w:tr w:rsidR="00926D24" w:rsidRPr="004C5183" w:rsidTr="00926D24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D24" w:rsidRPr="00926D24" w:rsidRDefault="0023742A" w:rsidP="00926D24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74197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agenda da CPUA-CAU/BR para 2018</w:t>
            </w:r>
          </w:p>
        </w:tc>
      </w:tr>
      <w:tr w:rsidR="00926D24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D24" w:rsidRPr="004C5183" w:rsidRDefault="00926D2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D24" w:rsidRPr="004C5183" w:rsidRDefault="0023742A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926D24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D24" w:rsidRPr="004C5183" w:rsidRDefault="00926D24" w:rsidP="00926D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D24" w:rsidRPr="004C5183" w:rsidRDefault="0023742A" w:rsidP="00926D2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23742A" w:rsidRPr="004C5183" w:rsidTr="006877C3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23742A" w:rsidRDefault="0023742A" w:rsidP="0023742A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Resposta ao </w:t>
            </w:r>
            <w:r w:rsidRPr="0023742A">
              <w:rPr>
                <w:rFonts w:ascii="Times New Roman" w:eastAsia="MS Mincho" w:hAnsi="Times New Roman"/>
                <w:b/>
                <w:sz w:val="22"/>
                <w:szCs w:val="22"/>
              </w:rPr>
              <w:t>Memorando CEP-CAU/RS nº 002/2018: Planejamento Urbano e Ambiental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DB5459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23742A" w:rsidRPr="004C5183" w:rsidTr="006A4EB1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23742A" w:rsidRDefault="0023742A" w:rsidP="00DB5459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</w:t>
            </w:r>
            <w:r w:rsidR="00DB545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nstrução Normativa CAU/RS nº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013/2017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DB5459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</w:tr>
      <w:tr w:rsidR="0023742A" w:rsidRPr="004C5183" w:rsidTr="00D84DD7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7. Retorno sobre a representação no COESPPCI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DB5459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</w:tr>
      <w:tr w:rsidR="0023742A" w:rsidRPr="004C5183" w:rsidTr="00F01C35">
        <w:trPr>
          <w:gridAfter w:val="1"/>
          <w:wAfter w:w="70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23742A" w:rsidRDefault="0023742A" w:rsidP="0023742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23742A">
              <w:rPr>
                <w:rFonts w:ascii="Times New Roman" w:eastAsia="MS Mincho" w:hAnsi="Times New Roman"/>
                <w:b/>
                <w:sz w:val="22"/>
                <w:szCs w:val="22"/>
              </w:rPr>
              <w:t>Edital do CMDUA de Porto Alegre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23742A" w:rsidRPr="004C5183" w:rsidTr="00741975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742A" w:rsidRPr="004C5183" w:rsidRDefault="0023742A" w:rsidP="0023742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742A" w:rsidRPr="004C5183" w:rsidRDefault="00DB5459" w:rsidP="002374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Rieger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44DD9" w:rsidTr="004E4970">
        <w:tc>
          <w:tcPr>
            <w:tcW w:w="4606" w:type="dxa"/>
            <w:shd w:val="clear" w:color="auto" w:fill="auto"/>
          </w:tcPr>
          <w:p w:rsidR="00191B99" w:rsidRDefault="00191B99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F1451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51F0A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91B99" w:rsidRDefault="00191B99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91B99" w:rsidRDefault="00191B99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Pr="00044DD9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C43DF" w:rsidRPr="00A51F0A" w:rsidRDefault="00CC43DF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Coordenador-adjunto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Pr="00A51F0A" w:rsidRDefault="000E15F8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AF1451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EB0ECF" w:rsidRPr="00044DD9" w:rsidRDefault="00EB0ECF" w:rsidP="00EB0E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EB0ECF" w:rsidRPr="00044DD9" w:rsidRDefault="00EB0ECF" w:rsidP="00EB0EC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Pr="00044DD9" w:rsidRDefault="00AF1451" w:rsidP="00EB0EC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EB0ECF" w:rsidRPr="000E15F8" w:rsidRDefault="00EB0ECF" w:rsidP="00EB0E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F1451" w:rsidRPr="00044DD9" w:rsidRDefault="00EB0ECF" w:rsidP="00EB0EC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4E4970">
        <w:tc>
          <w:tcPr>
            <w:tcW w:w="4606" w:type="dxa"/>
            <w:shd w:val="clear" w:color="auto" w:fill="auto"/>
          </w:tcPr>
          <w:p w:rsidR="002F6B55" w:rsidRDefault="002F6B55" w:rsidP="00926D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B0ECF" w:rsidRPr="00044DD9" w:rsidRDefault="00EB0ECF" w:rsidP="00EB0EC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BERNARDI</w:t>
            </w:r>
          </w:p>
          <w:p w:rsidR="00AF1451" w:rsidRPr="00044DD9" w:rsidRDefault="00EB0ECF" w:rsidP="00EB0E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926D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15F8" w:rsidRPr="00044DD9" w:rsidRDefault="00CE47B7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VOLKER</w:t>
            </w:r>
          </w:p>
          <w:p w:rsidR="003E3ADB" w:rsidRPr="00044DD9" w:rsidRDefault="00CE47B7" w:rsidP="00A51F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0E15F8" w:rsidRPr="00044DD9" w:rsidTr="004E4970">
        <w:tc>
          <w:tcPr>
            <w:tcW w:w="4606" w:type="dxa"/>
            <w:shd w:val="clear" w:color="auto" w:fill="auto"/>
          </w:tcPr>
          <w:p w:rsidR="000E15F8" w:rsidRDefault="000E15F8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C43DF" w:rsidRDefault="00CC43DF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0E15F8" w:rsidRPr="00044DD9" w:rsidRDefault="000E15F8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0EC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Default="00926D24" w:rsidP="00191B99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B0EC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Default="00926D2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1B6E"/>
    <w:multiLevelType w:val="hybridMultilevel"/>
    <w:tmpl w:val="C662118E"/>
    <w:lvl w:ilvl="0" w:tplc="CA2C8AA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164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9075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3DCA1FB3"/>
    <w:multiLevelType w:val="hybridMultilevel"/>
    <w:tmpl w:val="4FC4A722"/>
    <w:lvl w:ilvl="0" w:tplc="6840E1AE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D2C4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22438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1D1B8B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3565DC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C682B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21"/>
  </w:num>
  <w:num w:numId="4">
    <w:abstractNumId w:val="16"/>
  </w:num>
  <w:num w:numId="5">
    <w:abstractNumId w:val="22"/>
  </w:num>
  <w:num w:numId="6">
    <w:abstractNumId w:val="42"/>
  </w:num>
  <w:num w:numId="7">
    <w:abstractNumId w:val="43"/>
  </w:num>
  <w:num w:numId="8">
    <w:abstractNumId w:val="29"/>
  </w:num>
  <w:num w:numId="9">
    <w:abstractNumId w:val="34"/>
  </w:num>
  <w:num w:numId="10">
    <w:abstractNumId w:val="19"/>
  </w:num>
  <w:num w:numId="11">
    <w:abstractNumId w:val="4"/>
  </w:num>
  <w:num w:numId="12">
    <w:abstractNumId w:val="27"/>
  </w:num>
  <w:num w:numId="13">
    <w:abstractNumId w:val="2"/>
  </w:num>
  <w:num w:numId="14">
    <w:abstractNumId w:val="39"/>
  </w:num>
  <w:num w:numId="15">
    <w:abstractNumId w:val="36"/>
  </w:num>
  <w:num w:numId="16">
    <w:abstractNumId w:val="14"/>
  </w:num>
  <w:num w:numId="17">
    <w:abstractNumId w:val="0"/>
  </w:num>
  <w:num w:numId="18">
    <w:abstractNumId w:val="26"/>
  </w:num>
  <w:num w:numId="19">
    <w:abstractNumId w:val="24"/>
  </w:num>
  <w:num w:numId="20">
    <w:abstractNumId w:val="23"/>
  </w:num>
  <w:num w:numId="21">
    <w:abstractNumId w:val="13"/>
  </w:num>
  <w:num w:numId="22">
    <w:abstractNumId w:val="15"/>
  </w:num>
  <w:num w:numId="23">
    <w:abstractNumId w:val="31"/>
  </w:num>
  <w:num w:numId="24">
    <w:abstractNumId w:val="20"/>
  </w:num>
  <w:num w:numId="25">
    <w:abstractNumId w:val="35"/>
  </w:num>
  <w:num w:numId="26">
    <w:abstractNumId w:val="8"/>
  </w:num>
  <w:num w:numId="27">
    <w:abstractNumId w:val="6"/>
  </w:num>
  <w:num w:numId="28">
    <w:abstractNumId w:val="5"/>
  </w:num>
  <w:num w:numId="29">
    <w:abstractNumId w:val="12"/>
  </w:num>
  <w:num w:numId="30">
    <w:abstractNumId w:val="41"/>
  </w:num>
  <w:num w:numId="31">
    <w:abstractNumId w:val="10"/>
  </w:num>
  <w:num w:numId="32">
    <w:abstractNumId w:val="17"/>
  </w:num>
  <w:num w:numId="33">
    <w:abstractNumId w:val="37"/>
  </w:num>
  <w:num w:numId="34">
    <w:abstractNumId w:val="1"/>
  </w:num>
  <w:num w:numId="35">
    <w:abstractNumId w:val="33"/>
  </w:num>
  <w:num w:numId="36">
    <w:abstractNumId w:val="7"/>
  </w:num>
  <w:num w:numId="37">
    <w:abstractNumId w:val="40"/>
  </w:num>
  <w:num w:numId="38">
    <w:abstractNumId w:val="38"/>
  </w:num>
  <w:num w:numId="39">
    <w:abstractNumId w:val="25"/>
  </w:num>
  <w:num w:numId="40">
    <w:abstractNumId w:val="9"/>
  </w:num>
  <w:num w:numId="41">
    <w:abstractNumId w:val="28"/>
  </w:num>
  <w:num w:numId="42">
    <w:abstractNumId w:val="30"/>
  </w:num>
  <w:num w:numId="43">
    <w:abstractNumId w:val="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554A8"/>
    <w:rsid w:val="000605F6"/>
    <w:rsid w:val="00062599"/>
    <w:rsid w:val="00065201"/>
    <w:rsid w:val="00067264"/>
    <w:rsid w:val="00085082"/>
    <w:rsid w:val="00086D01"/>
    <w:rsid w:val="00094D18"/>
    <w:rsid w:val="000C1A24"/>
    <w:rsid w:val="000C3500"/>
    <w:rsid w:val="000C60AD"/>
    <w:rsid w:val="000D3E3E"/>
    <w:rsid w:val="000D5BC9"/>
    <w:rsid w:val="000D71F0"/>
    <w:rsid w:val="000E0909"/>
    <w:rsid w:val="000E15F8"/>
    <w:rsid w:val="000E2009"/>
    <w:rsid w:val="000F339D"/>
    <w:rsid w:val="000F46DA"/>
    <w:rsid w:val="0010374D"/>
    <w:rsid w:val="0010650D"/>
    <w:rsid w:val="00107B9E"/>
    <w:rsid w:val="00117EDD"/>
    <w:rsid w:val="00124A49"/>
    <w:rsid w:val="00132EF4"/>
    <w:rsid w:val="00133AD2"/>
    <w:rsid w:val="001463B5"/>
    <w:rsid w:val="0015580A"/>
    <w:rsid w:val="00170CA0"/>
    <w:rsid w:val="00174A5A"/>
    <w:rsid w:val="001778C5"/>
    <w:rsid w:val="00180FB9"/>
    <w:rsid w:val="00191B99"/>
    <w:rsid w:val="001979E1"/>
    <w:rsid w:val="001B01D5"/>
    <w:rsid w:val="001B5148"/>
    <w:rsid w:val="001B5F62"/>
    <w:rsid w:val="001D1E87"/>
    <w:rsid w:val="001E56D2"/>
    <w:rsid w:val="001F61E5"/>
    <w:rsid w:val="00220A16"/>
    <w:rsid w:val="0023742A"/>
    <w:rsid w:val="00243ACB"/>
    <w:rsid w:val="0025277E"/>
    <w:rsid w:val="00270B65"/>
    <w:rsid w:val="00280F33"/>
    <w:rsid w:val="00285A83"/>
    <w:rsid w:val="00286A9E"/>
    <w:rsid w:val="00295FD5"/>
    <w:rsid w:val="002974CF"/>
    <w:rsid w:val="002A7C5E"/>
    <w:rsid w:val="002B140A"/>
    <w:rsid w:val="002B6852"/>
    <w:rsid w:val="002D4361"/>
    <w:rsid w:val="002D54CA"/>
    <w:rsid w:val="002E293E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862A9"/>
    <w:rsid w:val="003945A8"/>
    <w:rsid w:val="00397661"/>
    <w:rsid w:val="003A699B"/>
    <w:rsid w:val="003B4E9A"/>
    <w:rsid w:val="003B6D0B"/>
    <w:rsid w:val="003C3C3A"/>
    <w:rsid w:val="003C484E"/>
    <w:rsid w:val="003E3ADB"/>
    <w:rsid w:val="003F1946"/>
    <w:rsid w:val="003F5088"/>
    <w:rsid w:val="00410566"/>
    <w:rsid w:val="004123FC"/>
    <w:rsid w:val="004303BE"/>
    <w:rsid w:val="00433DE0"/>
    <w:rsid w:val="004355BD"/>
    <w:rsid w:val="00447C6C"/>
    <w:rsid w:val="00453128"/>
    <w:rsid w:val="004629E3"/>
    <w:rsid w:val="00471056"/>
    <w:rsid w:val="004734A9"/>
    <w:rsid w:val="00483414"/>
    <w:rsid w:val="0049425F"/>
    <w:rsid w:val="004A00B5"/>
    <w:rsid w:val="004B3023"/>
    <w:rsid w:val="004B5A5C"/>
    <w:rsid w:val="004B5E6C"/>
    <w:rsid w:val="004C3048"/>
    <w:rsid w:val="004C7915"/>
    <w:rsid w:val="004D75DA"/>
    <w:rsid w:val="004E062B"/>
    <w:rsid w:val="004E4970"/>
    <w:rsid w:val="004E5DD1"/>
    <w:rsid w:val="004F15C8"/>
    <w:rsid w:val="00504C52"/>
    <w:rsid w:val="0053240A"/>
    <w:rsid w:val="00543EB4"/>
    <w:rsid w:val="005461A2"/>
    <w:rsid w:val="00551153"/>
    <w:rsid w:val="005615DC"/>
    <w:rsid w:val="00563707"/>
    <w:rsid w:val="00564054"/>
    <w:rsid w:val="00565889"/>
    <w:rsid w:val="005B4B10"/>
    <w:rsid w:val="005C67F5"/>
    <w:rsid w:val="005D2FBE"/>
    <w:rsid w:val="005D3D88"/>
    <w:rsid w:val="005E119A"/>
    <w:rsid w:val="005E2D9F"/>
    <w:rsid w:val="005F47CB"/>
    <w:rsid w:val="005F6D57"/>
    <w:rsid w:val="0060080A"/>
    <w:rsid w:val="00601740"/>
    <w:rsid w:val="00601FB6"/>
    <w:rsid w:val="0060634C"/>
    <w:rsid w:val="006130EF"/>
    <w:rsid w:val="00614679"/>
    <w:rsid w:val="0061735A"/>
    <w:rsid w:val="00631C8D"/>
    <w:rsid w:val="006326C4"/>
    <w:rsid w:val="0063314D"/>
    <w:rsid w:val="00633BEB"/>
    <w:rsid w:val="006340C8"/>
    <w:rsid w:val="00637577"/>
    <w:rsid w:val="00661135"/>
    <w:rsid w:val="00662475"/>
    <w:rsid w:val="00665AB1"/>
    <w:rsid w:val="0066674D"/>
    <w:rsid w:val="00674F6E"/>
    <w:rsid w:val="00675FB9"/>
    <w:rsid w:val="00690C35"/>
    <w:rsid w:val="0069229F"/>
    <w:rsid w:val="006A17D9"/>
    <w:rsid w:val="006B670F"/>
    <w:rsid w:val="006C62E4"/>
    <w:rsid w:val="006C75E7"/>
    <w:rsid w:val="006D0EB2"/>
    <w:rsid w:val="006D2981"/>
    <w:rsid w:val="006F4E9B"/>
    <w:rsid w:val="006F6327"/>
    <w:rsid w:val="007235F9"/>
    <w:rsid w:val="00724E2F"/>
    <w:rsid w:val="00731BBD"/>
    <w:rsid w:val="007375FB"/>
    <w:rsid w:val="00740E14"/>
    <w:rsid w:val="00741975"/>
    <w:rsid w:val="007434BA"/>
    <w:rsid w:val="0075194D"/>
    <w:rsid w:val="0076286B"/>
    <w:rsid w:val="00776B7B"/>
    <w:rsid w:val="007A3A4F"/>
    <w:rsid w:val="007B7B0D"/>
    <w:rsid w:val="007B7BB9"/>
    <w:rsid w:val="007C0FB9"/>
    <w:rsid w:val="007C50BE"/>
    <w:rsid w:val="007F0110"/>
    <w:rsid w:val="00805FC1"/>
    <w:rsid w:val="0081283D"/>
    <w:rsid w:val="0082675D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709B"/>
    <w:rsid w:val="00874A65"/>
    <w:rsid w:val="00890C7F"/>
    <w:rsid w:val="00897825"/>
    <w:rsid w:val="008A2EE4"/>
    <w:rsid w:val="008C13E8"/>
    <w:rsid w:val="008C5A3C"/>
    <w:rsid w:val="008D4752"/>
    <w:rsid w:val="008E1728"/>
    <w:rsid w:val="008F159C"/>
    <w:rsid w:val="008F3B5D"/>
    <w:rsid w:val="0091511C"/>
    <w:rsid w:val="00926958"/>
    <w:rsid w:val="009269BD"/>
    <w:rsid w:val="00926D24"/>
    <w:rsid w:val="00930D3C"/>
    <w:rsid w:val="0093154B"/>
    <w:rsid w:val="009347B2"/>
    <w:rsid w:val="0094772A"/>
    <w:rsid w:val="009613E8"/>
    <w:rsid w:val="009643CB"/>
    <w:rsid w:val="00974359"/>
    <w:rsid w:val="00984129"/>
    <w:rsid w:val="00994494"/>
    <w:rsid w:val="009B40C9"/>
    <w:rsid w:val="009B5DB8"/>
    <w:rsid w:val="009C50A6"/>
    <w:rsid w:val="009C581F"/>
    <w:rsid w:val="009D0886"/>
    <w:rsid w:val="009E3C4D"/>
    <w:rsid w:val="009F3467"/>
    <w:rsid w:val="00A050DB"/>
    <w:rsid w:val="00A30F80"/>
    <w:rsid w:val="00A37907"/>
    <w:rsid w:val="00A40ECC"/>
    <w:rsid w:val="00A43C37"/>
    <w:rsid w:val="00A47C9C"/>
    <w:rsid w:val="00A51F0A"/>
    <w:rsid w:val="00A5515C"/>
    <w:rsid w:val="00A55C5A"/>
    <w:rsid w:val="00A565FE"/>
    <w:rsid w:val="00A570C2"/>
    <w:rsid w:val="00A62383"/>
    <w:rsid w:val="00A80C65"/>
    <w:rsid w:val="00A83107"/>
    <w:rsid w:val="00AB5337"/>
    <w:rsid w:val="00AE2654"/>
    <w:rsid w:val="00AF1451"/>
    <w:rsid w:val="00AF368E"/>
    <w:rsid w:val="00B12286"/>
    <w:rsid w:val="00B129F6"/>
    <w:rsid w:val="00B138A5"/>
    <w:rsid w:val="00B15D4F"/>
    <w:rsid w:val="00B21343"/>
    <w:rsid w:val="00B23E93"/>
    <w:rsid w:val="00B309B7"/>
    <w:rsid w:val="00B3272B"/>
    <w:rsid w:val="00B37B9F"/>
    <w:rsid w:val="00B6066A"/>
    <w:rsid w:val="00B63C2E"/>
    <w:rsid w:val="00B6624C"/>
    <w:rsid w:val="00B73A02"/>
    <w:rsid w:val="00B81197"/>
    <w:rsid w:val="00B94D9A"/>
    <w:rsid w:val="00BB5E13"/>
    <w:rsid w:val="00BC73B6"/>
    <w:rsid w:val="00C006ED"/>
    <w:rsid w:val="00C038EA"/>
    <w:rsid w:val="00C15B9D"/>
    <w:rsid w:val="00C178A6"/>
    <w:rsid w:val="00C301CA"/>
    <w:rsid w:val="00C3665F"/>
    <w:rsid w:val="00C376D3"/>
    <w:rsid w:val="00C37B13"/>
    <w:rsid w:val="00C42605"/>
    <w:rsid w:val="00C45812"/>
    <w:rsid w:val="00C6066B"/>
    <w:rsid w:val="00C646F3"/>
    <w:rsid w:val="00C72981"/>
    <w:rsid w:val="00C72C38"/>
    <w:rsid w:val="00C86244"/>
    <w:rsid w:val="00C95A98"/>
    <w:rsid w:val="00CC43DF"/>
    <w:rsid w:val="00CC5EB2"/>
    <w:rsid w:val="00CD0E69"/>
    <w:rsid w:val="00CD66ED"/>
    <w:rsid w:val="00CE47B7"/>
    <w:rsid w:val="00CE4E08"/>
    <w:rsid w:val="00CF15C3"/>
    <w:rsid w:val="00CF2FBA"/>
    <w:rsid w:val="00CF679F"/>
    <w:rsid w:val="00D0391E"/>
    <w:rsid w:val="00D213CD"/>
    <w:rsid w:val="00D21C2C"/>
    <w:rsid w:val="00D24E51"/>
    <w:rsid w:val="00D32E81"/>
    <w:rsid w:val="00D43467"/>
    <w:rsid w:val="00D5776B"/>
    <w:rsid w:val="00D62C61"/>
    <w:rsid w:val="00D67B4E"/>
    <w:rsid w:val="00D802D9"/>
    <w:rsid w:val="00D8349F"/>
    <w:rsid w:val="00D9535A"/>
    <w:rsid w:val="00DA4C7D"/>
    <w:rsid w:val="00DB4045"/>
    <w:rsid w:val="00DB5459"/>
    <w:rsid w:val="00DC5019"/>
    <w:rsid w:val="00DD09A6"/>
    <w:rsid w:val="00DD16FB"/>
    <w:rsid w:val="00DE67B2"/>
    <w:rsid w:val="00DF0906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66FAF"/>
    <w:rsid w:val="00E73DC8"/>
    <w:rsid w:val="00E833EC"/>
    <w:rsid w:val="00E87EAC"/>
    <w:rsid w:val="00E9324D"/>
    <w:rsid w:val="00E9378F"/>
    <w:rsid w:val="00EA593B"/>
    <w:rsid w:val="00EB0ECF"/>
    <w:rsid w:val="00EB1D18"/>
    <w:rsid w:val="00EB4AC7"/>
    <w:rsid w:val="00ED2108"/>
    <w:rsid w:val="00ED6C95"/>
    <w:rsid w:val="00EE63B6"/>
    <w:rsid w:val="00EE6DD1"/>
    <w:rsid w:val="00F00BA3"/>
    <w:rsid w:val="00F106E3"/>
    <w:rsid w:val="00F11D97"/>
    <w:rsid w:val="00F20BD4"/>
    <w:rsid w:val="00F2295D"/>
    <w:rsid w:val="00F271D7"/>
    <w:rsid w:val="00F34C54"/>
    <w:rsid w:val="00F41C65"/>
    <w:rsid w:val="00F42418"/>
    <w:rsid w:val="00F43B18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0B66-2370-414A-AE7D-DA093EA6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5</Pages>
  <Words>1577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73</cp:revision>
  <cp:lastPrinted>2018-05-07T16:53:00Z</cp:lastPrinted>
  <dcterms:created xsi:type="dcterms:W3CDTF">2017-12-20T18:28:00Z</dcterms:created>
  <dcterms:modified xsi:type="dcterms:W3CDTF">2018-05-07T16:55:00Z</dcterms:modified>
</cp:coreProperties>
</file>