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0039CB" w:rsidP="000039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0039CB" w:rsidP="000039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039CB" w:rsidP="000039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JAIME BOFF – ARQUITETURA E CONSTRUÇÕES LTDA</w:t>
            </w:r>
            <w:r w:rsidR="00CD3E14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7D20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0039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7D20ED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="000039CB" w:rsidRPr="00CD3E14">
              <w:rPr>
                <w:rFonts w:ascii="Times New Roman" w:hAnsi="Times New Roman"/>
              </w:rPr>
              <w:t>RÔMULO PLENTZ GIRALT</w:t>
            </w:r>
            <w:r w:rsidR="000039CB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1E7004">
        <w:rPr>
          <w:rFonts w:ascii="Times New Roman" w:eastAsia="Calibri" w:hAnsi="Times New Roman"/>
        </w:rPr>
        <w:t>21</w:t>
      </w:r>
      <w:r w:rsidR="006D5A4C">
        <w:rPr>
          <w:rFonts w:ascii="Times New Roman" w:eastAsia="Calibri" w:hAnsi="Times New Roman"/>
        </w:rPr>
        <w:t xml:space="preserve"> de </w:t>
      </w:r>
      <w:r w:rsidR="001E7004">
        <w:rPr>
          <w:rFonts w:ascii="Times New Roman" w:eastAsia="Calibri" w:hAnsi="Times New Roman"/>
        </w:rPr>
        <w:t>novembro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B2420">
        <w:rPr>
          <w:rFonts w:ascii="Times New Roman" w:eastAsia="Calibri" w:hAnsi="Times New Roman"/>
        </w:rPr>
        <w:t>2</w:t>
      </w:r>
      <w:r w:rsidR="001E7004">
        <w:rPr>
          <w:rFonts w:ascii="Times New Roman" w:eastAsia="Calibri" w:hAnsi="Times New Roman"/>
        </w:rPr>
        <w:t>99</w:t>
      </w:r>
      <w:r w:rsidRPr="006B5082">
        <w:rPr>
          <w:rFonts w:ascii="Times New Roman" w:eastAsia="Calibri" w:hAnsi="Times New Roman"/>
        </w:rPr>
        <w:t xml:space="preserve">/2017 à empresa </w:t>
      </w:r>
      <w:r w:rsidR="001E7004">
        <w:rPr>
          <w:rFonts w:ascii="Times New Roman" w:hAnsi="Times New Roman"/>
        </w:rPr>
        <w:t>JAIME BOFF – ARQUITETURA E CONSTRUÇÕES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8B2420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8B2420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C536BC">
        <w:rPr>
          <w:rFonts w:ascii="Times New Roman" w:eastAsia="Calibri" w:hAnsi="Times New Roman"/>
        </w:rPr>
        <w:t xml:space="preserve">sucinta </w:t>
      </w:r>
      <w:r w:rsidR="002970FC" w:rsidRPr="006B5082">
        <w:rPr>
          <w:rFonts w:ascii="Times New Roman" w:eastAsia="Calibri" w:hAnsi="Times New Roman"/>
        </w:rPr>
        <w:t xml:space="preserve">impugnação tempestiva (fl. </w:t>
      </w:r>
      <w:r w:rsidR="001531AA">
        <w:rPr>
          <w:rFonts w:ascii="Times New Roman" w:eastAsia="Calibri" w:hAnsi="Times New Roman"/>
        </w:rPr>
        <w:t>1</w:t>
      </w:r>
      <w:r w:rsidR="008B2420">
        <w:rPr>
          <w:rFonts w:ascii="Times New Roman" w:eastAsia="Calibri" w:hAnsi="Times New Roman"/>
        </w:rPr>
        <w:t>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8B2420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</w:t>
      </w:r>
      <w:r w:rsidR="001E7004">
        <w:rPr>
          <w:rFonts w:ascii="Times New Roman" w:eastAsia="Calibri" w:hAnsi="Times New Roman"/>
        </w:rPr>
        <w:t>29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</w:t>
      </w:r>
      <w:r w:rsidR="00C536BC">
        <w:rPr>
          <w:rFonts w:ascii="Times New Roman" w:eastAsia="Calibri" w:hAnsi="Times New Roman"/>
        </w:rPr>
        <w:t xml:space="preserve">a inatividade </w:t>
      </w:r>
      <w:r w:rsidR="001E7004">
        <w:rPr>
          <w:rFonts w:ascii="Times New Roman" w:eastAsia="Calibri" w:hAnsi="Times New Roman"/>
        </w:rPr>
        <w:t xml:space="preserve">e a extinção </w:t>
      </w:r>
      <w:r w:rsidR="00C536BC">
        <w:rPr>
          <w:rFonts w:ascii="Times New Roman" w:eastAsia="Calibri" w:hAnsi="Times New Roman"/>
        </w:rPr>
        <w:t>da empresa, juntando documentos referentes ao ano de 2012.</w:t>
      </w:r>
    </w:p>
    <w:p w:rsidR="003F0E15" w:rsidRDefault="003F0E15" w:rsidP="003F0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92044">
        <w:rPr>
          <w:rFonts w:ascii="Times New Roman" w:eastAsia="Calibri" w:hAnsi="Times New Roman"/>
        </w:rPr>
        <w:t xml:space="preserve">Em despacho saneador (fl. 35), foram solicitados documentos complementares, </w:t>
      </w:r>
      <w:r>
        <w:rPr>
          <w:rFonts w:ascii="Times New Roman" w:eastAsia="Calibri" w:hAnsi="Times New Roman"/>
        </w:rPr>
        <w:t>referentes aos anos de 2013, 2014, 2015 e até 02/05/2016, data da baixa da Contribuinte junto ao Cadastro Nacional da Pessoa Jurídica, o que restou devidamente atendido com a juntada de documentos pela empresa impugnante em 25/04/2018 (fls. 37-87), bem como com a informação de seu endereço atual como sendo Av. Rio Branco, nº 265/1501 CEP 95010-060 em Caxias do Sul – RS.</w:t>
      </w:r>
    </w:p>
    <w:p w:rsidR="00000ACA" w:rsidRPr="00E9204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9204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835494" w:rsidP="003B067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</w:t>
            </w:r>
            <w:r w:rsidR="003B067D">
              <w:rPr>
                <w:rFonts w:ascii="Times New Roman" w:hAnsi="Times New Roman"/>
                <w:b/>
              </w:rPr>
              <w:t>VOTO DO(A) RELATOR(A)</w:t>
            </w:r>
            <w:r w:rsidR="00C276DC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3B067D" w:rsidRPr="00D6400E" w:rsidRDefault="00C276DC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ab/>
      </w:r>
      <w:r w:rsidR="003B067D" w:rsidRPr="00D6400E">
        <w:rPr>
          <w:rFonts w:ascii="Times New Roman" w:eastAsia="Calibri" w:hAnsi="Times New Roman"/>
        </w:rPr>
        <w:t>Salienta</w:t>
      </w:r>
      <w:r w:rsidR="003B067D" w:rsidRPr="00D6400E">
        <w:rPr>
          <w:rFonts w:ascii="Times New Roman" w:hAnsi="Times New Roman"/>
        </w:rPr>
        <w:t>-se, inicialmente, que “</w:t>
      </w:r>
      <w:r w:rsidR="003B067D" w:rsidRPr="00D6400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="003B067D" w:rsidRPr="00D6400E">
        <w:rPr>
          <w:rFonts w:ascii="Times New Roman" w:hAnsi="Times New Roman"/>
        </w:rPr>
        <w:t>”, conforme dispõe o art. 24, § 1º, da Lei nº 12.378/2010.</w:t>
      </w:r>
    </w:p>
    <w:p w:rsidR="003B067D" w:rsidRPr="00D6400E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6400E">
        <w:rPr>
          <w:rFonts w:ascii="Times New Roman" w:hAnsi="Times New Roman"/>
        </w:rPr>
        <w:t>Ressalta-se, ainda, que a atividade fiscalizatória tem por objeto “</w:t>
      </w:r>
      <w:r w:rsidRPr="00D6400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6400E">
        <w:rPr>
          <w:rFonts w:ascii="Times New Roman" w:hAnsi="Times New Roman"/>
        </w:rPr>
        <w:t>” e por objetivo “</w:t>
      </w:r>
      <w:r w:rsidRPr="00D6400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6400E">
        <w:rPr>
          <w:rFonts w:ascii="Times New Roman" w:hAnsi="Times New Roman"/>
        </w:rPr>
        <w:t>”, competindo-lhe “</w:t>
      </w:r>
      <w:r w:rsidRPr="00D6400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6400E">
        <w:rPr>
          <w:rFonts w:ascii="Times New Roman" w:hAnsi="Times New Roman"/>
        </w:rPr>
        <w:t xml:space="preserve">”, </w:t>
      </w:r>
      <w:r w:rsidRPr="00D6400E">
        <w:rPr>
          <w:rFonts w:ascii="Times New Roman" w:eastAsia="Calibri" w:hAnsi="Times New Roman"/>
        </w:rPr>
        <w:t>conforme</w:t>
      </w:r>
      <w:r w:rsidRPr="00D6400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3B067D" w:rsidRPr="00D6400E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6400E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</w:t>
      </w:r>
      <w:r w:rsidRPr="00D6400E">
        <w:rPr>
          <w:rFonts w:ascii="Times New Roman" w:hAnsi="Times New Roman"/>
        </w:rPr>
        <w:lastRenderedPageBreak/>
        <w:t>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3B067D" w:rsidRPr="00435651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3B067D" w:rsidRPr="00435651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>Neste sentido, cito os seguintes julgados do Tribunal Regional Federal da 4ª Região:</w:t>
      </w:r>
    </w:p>
    <w:p w:rsidR="003B067D" w:rsidRPr="00435651" w:rsidRDefault="003B067D" w:rsidP="003B067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3B067D" w:rsidRPr="00435651" w:rsidRDefault="003B067D" w:rsidP="003B067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3B067D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3B067D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</w:t>
      </w:r>
      <w:r>
        <w:rPr>
          <w:rFonts w:ascii="Times New Roman" w:hAnsi="Times New Roman"/>
        </w:rPr>
        <w:t>a empresa está baixada</w:t>
      </w:r>
      <w:r w:rsidRPr="00DB4510">
        <w:rPr>
          <w:rFonts w:ascii="Times New Roman" w:hAnsi="Times New Roman"/>
        </w:rPr>
        <w:t xml:space="preserve"> no cadastro nacional da pessoa jurídica </w:t>
      </w:r>
      <w:r>
        <w:rPr>
          <w:rFonts w:ascii="Times New Roman" w:hAnsi="Times New Roman"/>
        </w:rPr>
        <w:t>desde 02/05/2016 (fl. 32),</w:t>
      </w:r>
      <w:r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não sendo possível a cobrança de valores a título de anuidades a partir desta data.</w:t>
      </w:r>
    </w:p>
    <w:p w:rsidR="003B067D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Sobre o período anterior a 02/05/2016, </w:t>
      </w:r>
      <w:r w:rsidRPr="00DB4510">
        <w:rPr>
          <w:rFonts w:ascii="Times New Roman" w:hAnsi="Times New Roman"/>
        </w:rPr>
        <w:t xml:space="preserve">o conjunto probatório presente nos autos demonstra </w:t>
      </w:r>
      <w:r>
        <w:rPr>
          <w:rFonts w:ascii="Times New Roman" w:hAnsi="Times New Roman"/>
        </w:rPr>
        <w:t xml:space="preserve">que a pessoa jurídica </w:t>
      </w:r>
      <w:r w:rsidRPr="00DB4510">
        <w:rPr>
          <w:rFonts w:ascii="Times New Roman" w:hAnsi="Times New Roman"/>
        </w:rPr>
        <w:t>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profissionais, visto que se encontr</w:t>
      </w:r>
      <w:r>
        <w:rPr>
          <w:rFonts w:ascii="Times New Roman" w:hAnsi="Times New Roman"/>
        </w:rPr>
        <w:t>a</w:t>
      </w:r>
      <w:r w:rsidRPr="00DB4510">
        <w:rPr>
          <w:rFonts w:ascii="Times New Roman" w:hAnsi="Times New Roman"/>
        </w:rPr>
        <w:t xml:space="preserve">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desde 16/12/2011 (fl. 33)</w:t>
      </w:r>
      <w:r w:rsidRPr="00DB451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bem como apresentou </w:t>
      </w:r>
      <w:r w:rsidR="004E3996">
        <w:rPr>
          <w:rFonts w:ascii="Times New Roman" w:hAnsi="Times New Roman"/>
        </w:rPr>
        <w:t xml:space="preserve">Relação Anual de Informações Sociais – </w:t>
      </w:r>
      <w:r>
        <w:rPr>
          <w:rFonts w:ascii="Times New Roman" w:hAnsi="Times New Roman"/>
        </w:rPr>
        <w:t>RAIS</w:t>
      </w:r>
      <w:r w:rsidR="004E399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negativa e demais documentos</w:t>
      </w:r>
      <w:r w:rsidR="004E3996">
        <w:rPr>
          <w:rFonts w:ascii="Times New Roman" w:hAnsi="Times New Roman"/>
        </w:rPr>
        <w:t xml:space="preserve">, tais como a Declaração de Débitos e Créditos Tributários Federais - DCTF e o Sistema Público de </w:t>
      </w:r>
      <w:r w:rsidR="004E3996">
        <w:rPr>
          <w:rFonts w:ascii="Times New Roman" w:hAnsi="Times New Roman"/>
        </w:rPr>
        <w:lastRenderedPageBreak/>
        <w:t xml:space="preserve">Escrituração Digital - SPED </w:t>
      </w:r>
      <w:r>
        <w:rPr>
          <w:rFonts w:ascii="Times New Roman" w:hAnsi="Times New Roman"/>
        </w:rPr>
        <w:t>referente</w:t>
      </w:r>
      <w:r w:rsidR="004E399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ao ano de 2012 (fls. 16-17 e 20-27), a DCTF </w:t>
      </w:r>
      <w:r w:rsidR="004E3996">
        <w:rPr>
          <w:rFonts w:ascii="Times New Roman" w:hAnsi="Times New Roman"/>
        </w:rPr>
        <w:t xml:space="preserve">e </w:t>
      </w:r>
      <w:r w:rsidR="00E619BB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SPED sem movimentos referente ao ano de 2013 (fls. 18-19 e 38-49), SPED sem movimentos relativ</w:t>
      </w:r>
      <w:r w:rsidR="004E3996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ao ano de 2014 (fls. 50-61), SPED sem movimentos em relação ao ano de 2015 (fls. 62-73) e </w:t>
      </w:r>
      <w:r w:rsidR="00E619BB">
        <w:rPr>
          <w:rFonts w:ascii="Times New Roman" w:hAnsi="Times New Roman"/>
        </w:rPr>
        <w:t>SPED sem movimentos relativ</w:t>
      </w:r>
      <w:r w:rsidR="004E3996">
        <w:rPr>
          <w:rFonts w:ascii="Times New Roman" w:hAnsi="Times New Roman"/>
        </w:rPr>
        <w:t>o</w:t>
      </w:r>
      <w:r w:rsidR="00E619BB">
        <w:rPr>
          <w:rFonts w:ascii="Times New Roman" w:hAnsi="Times New Roman"/>
        </w:rPr>
        <w:t xml:space="preserve"> ao período de janeiro até 02/05/2016, quando houve a extinção da pessoa jurídica</w:t>
      </w:r>
      <w:r>
        <w:rPr>
          <w:rFonts w:ascii="Times New Roman" w:hAnsi="Times New Roman"/>
        </w:rPr>
        <w:t xml:space="preserve">, </w:t>
      </w:r>
      <w:r w:rsidR="00E619BB">
        <w:rPr>
          <w:rFonts w:ascii="Times New Roman" w:hAnsi="Times New Roman"/>
        </w:rPr>
        <w:t xml:space="preserve">além de outros documentos, formando um </w:t>
      </w:r>
      <w:r>
        <w:rPr>
          <w:rFonts w:ascii="Times New Roman" w:hAnsi="Times New Roman"/>
        </w:rPr>
        <w:t xml:space="preserve">conjunto fático e documental </w:t>
      </w:r>
      <w:r w:rsidR="00E619BB">
        <w:rPr>
          <w:rFonts w:ascii="Times New Roman" w:hAnsi="Times New Roman"/>
        </w:rPr>
        <w:t xml:space="preserve">hábil a </w:t>
      </w:r>
      <w:r>
        <w:rPr>
          <w:rFonts w:ascii="Times New Roman" w:hAnsi="Times New Roman"/>
        </w:rPr>
        <w:t>demonstra</w:t>
      </w:r>
      <w:r w:rsidR="00E619BB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que a Contribuinte esteve efetivamente inativa de</w:t>
      </w:r>
      <w:r w:rsidR="00E619BB">
        <w:rPr>
          <w:rFonts w:ascii="Times New Roman" w:hAnsi="Times New Roman"/>
        </w:rPr>
        <w:t>sde</w:t>
      </w:r>
      <w:r>
        <w:rPr>
          <w:rFonts w:ascii="Times New Roman" w:hAnsi="Times New Roman"/>
        </w:rPr>
        <w:t xml:space="preserve"> 2012.</w:t>
      </w:r>
    </w:p>
    <w:p w:rsidR="003B067D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em relação ao período anterior à baixa da pessoa jurídica contribuinte em </w:t>
      </w:r>
      <w:r w:rsidR="00E619BB">
        <w:rPr>
          <w:rFonts w:ascii="Times New Roman" w:hAnsi="Times New Roman"/>
        </w:rPr>
        <w:t>02/05</w:t>
      </w:r>
      <w:r>
        <w:rPr>
          <w:rFonts w:ascii="Times New Roman" w:hAnsi="Times New Roman"/>
        </w:rPr>
        <w:t>/201</w:t>
      </w:r>
      <w:r w:rsidR="00E619BB">
        <w:rPr>
          <w:rFonts w:ascii="Times New Roman" w:hAnsi="Times New Roman"/>
        </w:rPr>
        <w:t>6</w:t>
      </w:r>
      <w:r>
        <w:rPr>
          <w:rFonts w:ascii="Times New Roman" w:hAnsi="Times New Roman"/>
        </w:rPr>
        <w:t>, conforme documentos juntados ao processo, resta comprovada a inatividade da pessoa jurídica, o que impossibilita a cobrança de anuidades, pela inocorrência do fato gerador.</w:t>
      </w:r>
    </w:p>
    <w:p w:rsidR="003B067D" w:rsidRPr="003241C2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B067D" w:rsidRPr="00721CDF" w:rsidRDefault="003B067D" w:rsidP="003B067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>
        <w:rPr>
          <w:rFonts w:ascii="Times New Roman" w:hAnsi="Times New Roman"/>
        </w:rPr>
        <w:t xml:space="preserve">empresa </w:t>
      </w:r>
      <w:r w:rsidR="004E3996">
        <w:rPr>
          <w:rFonts w:ascii="Times New Roman" w:hAnsi="Times New Roman"/>
        </w:rPr>
        <w:t>JAIME BOFF – ARQUITETURA E CONSTRUÇÕES LTDA.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</w:t>
      </w:r>
      <w:r>
        <w:rPr>
          <w:rFonts w:ascii="Times New Roman" w:hAnsi="Times New Roman"/>
        </w:rPr>
        <w:t xml:space="preserve">além da impugnante </w:t>
      </w:r>
      <w:r w:rsidRPr="00721CDF">
        <w:rPr>
          <w:rFonts w:ascii="Times New Roman" w:hAnsi="Times New Roman"/>
        </w:rPr>
        <w:t>possu</w:t>
      </w:r>
      <w:r>
        <w:rPr>
          <w:rFonts w:ascii="Times New Roman" w:hAnsi="Times New Roman"/>
        </w:rPr>
        <w:t xml:space="preserve">ir situação de extinção </w:t>
      </w:r>
      <w:r w:rsidRPr="00721CDF">
        <w:rPr>
          <w:rFonts w:ascii="Times New Roman" w:hAnsi="Times New Roman"/>
        </w:rPr>
        <w:t>no CNPJ</w:t>
      </w:r>
      <w:r w:rsidR="004E39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em </w:t>
      </w:r>
      <w:r w:rsidR="004E3996">
        <w:rPr>
          <w:rFonts w:ascii="Times New Roman" w:hAnsi="Times New Roman"/>
        </w:rPr>
        <w:t>02</w:t>
      </w:r>
      <w:r>
        <w:rPr>
          <w:rFonts w:ascii="Times New Roman" w:hAnsi="Times New Roman"/>
        </w:rPr>
        <w:t>/0</w:t>
      </w:r>
      <w:r w:rsidR="004E3996">
        <w:rPr>
          <w:rFonts w:ascii="Times New Roman" w:hAnsi="Times New Roman"/>
        </w:rPr>
        <w:t>5</w:t>
      </w:r>
      <w:r>
        <w:rPr>
          <w:rFonts w:ascii="Times New Roman" w:hAnsi="Times New Roman"/>
        </w:rPr>
        <w:t>/201</w:t>
      </w:r>
      <w:r w:rsidR="004E3996">
        <w:rPr>
          <w:rFonts w:ascii="Times New Roman" w:hAnsi="Times New Roman"/>
        </w:rPr>
        <w:t>6</w:t>
      </w:r>
      <w:r w:rsidRPr="00721CDF">
        <w:rPr>
          <w:rFonts w:ascii="Times New Roman" w:hAnsi="Times New Roman"/>
        </w:rPr>
        <w:t>, demonstr</w:t>
      </w:r>
      <w:r>
        <w:rPr>
          <w:rFonts w:ascii="Times New Roman" w:hAnsi="Times New Roman"/>
        </w:rPr>
        <w:t>ou</w:t>
      </w:r>
      <w:r w:rsidRPr="00721CDF">
        <w:rPr>
          <w:rFonts w:ascii="Times New Roman" w:hAnsi="Times New Roman"/>
        </w:rPr>
        <w:t xml:space="preserve"> sua inatividade desde o</w:t>
      </w:r>
      <w:r>
        <w:rPr>
          <w:rFonts w:ascii="Times New Roman" w:hAnsi="Times New Roman"/>
        </w:rPr>
        <w:t xml:space="preserve"> início </w:t>
      </w:r>
      <w:r w:rsidRPr="00721CDF">
        <w:rPr>
          <w:rFonts w:ascii="Times New Roman" w:hAnsi="Times New Roman"/>
        </w:rPr>
        <w:t>de 201</w:t>
      </w:r>
      <w:r>
        <w:rPr>
          <w:rFonts w:ascii="Times New Roman" w:hAnsi="Times New Roman"/>
        </w:rPr>
        <w:t>2.</w:t>
      </w:r>
    </w:p>
    <w:p w:rsidR="003B067D" w:rsidRPr="00435651" w:rsidRDefault="003B067D" w:rsidP="003B067D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B067D" w:rsidRPr="00435651" w:rsidRDefault="003B067D" w:rsidP="003B067D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>Porto Alegre, 1</w:t>
      </w:r>
      <w:r>
        <w:rPr>
          <w:rFonts w:ascii="Times New Roman" w:eastAsia="Calibri" w:hAnsi="Times New Roman"/>
        </w:rPr>
        <w:t>5</w:t>
      </w:r>
      <w:r w:rsidRPr="00435651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maio</w:t>
      </w:r>
      <w:r w:rsidRPr="00435651">
        <w:rPr>
          <w:rFonts w:ascii="Times New Roman" w:eastAsia="Calibri" w:hAnsi="Times New Roman"/>
        </w:rPr>
        <w:t xml:space="preserve"> de 2018.</w:t>
      </w:r>
    </w:p>
    <w:p w:rsidR="003B067D" w:rsidRPr="00D6400E" w:rsidRDefault="003B067D" w:rsidP="003B067D">
      <w:pPr>
        <w:spacing w:before="120" w:after="120"/>
        <w:jc w:val="center"/>
        <w:rPr>
          <w:rFonts w:ascii="Times New Roman" w:eastAsia="Calibri" w:hAnsi="Times New Roman"/>
        </w:rPr>
      </w:pPr>
    </w:p>
    <w:p w:rsidR="003B067D" w:rsidRPr="004E3996" w:rsidRDefault="003B067D" w:rsidP="003B067D">
      <w:pPr>
        <w:spacing w:before="120" w:after="120"/>
        <w:ind w:left="2160" w:firstLine="720"/>
        <w:rPr>
          <w:rFonts w:ascii="Times New Roman" w:hAnsi="Times New Roman"/>
          <w:b/>
        </w:rPr>
      </w:pPr>
      <w:r w:rsidRPr="004E3996">
        <w:rPr>
          <w:rFonts w:ascii="Times New Roman" w:hAnsi="Times New Roman"/>
          <w:b/>
        </w:rPr>
        <w:t xml:space="preserve">     RÔMULO PLENTZ GIRALT</w:t>
      </w:r>
    </w:p>
    <w:p w:rsidR="003B067D" w:rsidRPr="00D6400E" w:rsidRDefault="003B067D" w:rsidP="003B067D">
      <w:pPr>
        <w:spacing w:before="120" w:after="120"/>
        <w:rPr>
          <w:rFonts w:ascii="Times New Roman" w:eastAsia="Calibri" w:hAnsi="Times New Roman"/>
        </w:rPr>
      </w:pPr>
      <w:r w:rsidRPr="00D6400E">
        <w:rPr>
          <w:rFonts w:ascii="Times New Roman" w:eastAsia="Calibri" w:hAnsi="Times New Roman"/>
        </w:rPr>
        <w:t xml:space="preserve">                 </w:t>
      </w:r>
      <w:r w:rsidRPr="00D6400E">
        <w:rPr>
          <w:rFonts w:ascii="Times New Roman" w:eastAsia="Calibri" w:hAnsi="Times New Roman"/>
        </w:rPr>
        <w:tab/>
      </w:r>
      <w:r w:rsidRPr="00D6400E">
        <w:rPr>
          <w:rFonts w:ascii="Times New Roman" w:eastAsia="Calibri" w:hAnsi="Times New Roman"/>
        </w:rPr>
        <w:tab/>
      </w:r>
      <w:r w:rsidRPr="00D6400E">
        <w:rPr>
          <w:rFonts w:ascii="Times New Roman" w:eastAsia="Calibri" w:hAnsi="Times New Roman"/>
        </w:rPr>
        <w:tab/>
        <w:t xml:space="preserve">        Conselheiro(a) Relator(a) </w:t>
      </w:r>
      <w:r w:rsidRPr="00D6400E">
        <w:rPr>
          <w:rFonts w:ascii="Times New Roman" w:eastAsia="Calibri" w:hAnsi="Times New Roman"/>
        </w:rPr>
        <w:tab/>
      </w:r>
      <w:r w:rsidRPr="00D6400E">
        <w:rPr>
          <w:rFonts w:ascii="Times New Roman" w:eastAsia="Calibri" w:hAnsi="Times New Roman"/>
        </w:rPr>
        <w:tab/>
        <w:t xml:space="preserve">          </w:t>
      </w:r>
    </w:p>
    <w:p w:rsidR="003B067D" w:rsidRPr="00D6400E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3B067D" w:rsidRPr="00D6400E" w:rsidRDefault="003B067D" w:rsidP="003B067D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6400E">
        <w:rPr>
          <w:rFonts w:ascii="Times New Roman" w:hAnsi="Times New Roman"/>
          <w:b/>
          <w:sz w:val="20"/>
          <w:szCs w:val="20"/>
        </w:rPr>
        <w:t>Cezar Eduardo Rieger</w:t>
      </w:r>
    </w:p>
    <w:p w:rsidR="003B067D" w:rsidRPr="00D6400E" w:rsidRDefault="003B067D" w:rsidP="003B067D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6400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3B067D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3B067D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3B067D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3B067D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3B067D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4E3996" w:rsidRDefault="004E3996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4E3996" w:rsidRDefault="004E3996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3B067D" w:rsidRPr="00D6400E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p w:rsidR="003B067D" w:rsidRPr="00D6400E" w:rsidRDefault="003B067D" w:rsidP="003B067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E3996" w:rsidRPr="007C635D" w:rsidTr="007C635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473/2017.</w:t>
            </w:r>
          </w:p>
        </w:tc>
      </w:tr>
      <w:tr w:rsidR="004E3996" w:rsidRPr="007C635D" w:rsidTr="007C635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299/2017.</w:t>
            </w:r>
          </w:p>
        </w:tc>
      </w:tr>
      <w:tr w:rsidR="004E3996" w:rsidRPr="007C635D" w:rsidTr="007C635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JAIME BOFF – ARQUITETURA E CONSTRUÇÕES LTDA.</w:t>
            </w:r>
          </w:p>
        </w:tc>
      </w:tr>
      <w:tr w:rsidR="004E3996" w:rsidRPr="007C635D" w:rsidTr="007C635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4E3996" w:rsidRPr="007C635D" w:rsidTr="007C635D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E3996" w:rsidRPr="007C635D" w:rsidRDefault="004E3996" w:rsidP="00CE51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CONSELHEIRO RÔMULO PLENTZ GIRALT.</w:t>
            </w:r>
          </w:p>
        </w:tc>
      </w:tr>
      <w:tr w:rsidR="003B067D" w:rsidRPr="007C635D" w:rsidTr="007C635D">
        <w:trPr>
          <w:gridAfter w:val="1"/>
          <w:wAfter w:w="216" w:type="dxa"/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B067D" w:rsidRPr="007C635D" w:rsidRDefault="003B067D" w:rsidP="007C63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C635D">
              <w:rPr>
                <w:rFonts w:ascii="Times New Roman" w:hAnsi="Times New Roman"/>
                <w:b/>
                <w:sz w:val="22"/>
                <w:szCs w:val="22"/>
              </w:rPr>
              <w:t>082/2018 – CPFI-</w:t>
            </w:r>
            <w:r w:rsidRPr="007C635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B067D" w:rsidRPr="007C635D" w:rsidRDefault="003B067D" w:rsidP="003B067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sz w:val="22"/>
          <w:szCs w:val="22"/>
        </w:rPr>
        <w:t>A COMISSÃO DE PLANEJAMENTO E FINANÇAS CPF</w:t>
      </w:r>
      <w:r w:rsidR="007C635D">
        <w:rPr>
          <w:rFonts w:ascii="Times New Roman" w:hAnsi="Times New Roman"/>
          <w:sz w:val="22"/>
          <w:szCs w:val="22"/>
        </w:rPr>
        <w:t>I</w:t>
      </w:r>
      <w:r w:rsidRPr="007C635D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15 </w:t>
      </w:r>
      <w:r w:rsidRPr="007C635D">
        <w:rPr>
          <w:rFonts w:ascii="Times New Roman" w:eastAsia="Calibri" w:hAnsi="Times New Roman"/>
          <w:sz w:val="22"/>
          <w:szCs w:val="22"/>
        </w:rPr>
        <w:t>de maio de 2018</w:t>
      </w:r>
      <w:r w:rsidRPr="007C635D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</w:t>
      </w:r>
    </w:p>
    <w:p w:rsidR="003B067D" w:rsidRPr="007C635D" w:rsidRDefault="003B067D" w:rsidP="003B067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b/>
          <w:sz w:val="22"/>
          <w:szCs w:val="22"/>
        </w:rPr>
        <w:t>DELIBEROU</w:t>
      </w:r>
      <w:r w:rsidRPr="007C635D">
        <w:rPr>
          <w:rFonts w:ascii="Times New Roman" w:hAnsi="Times New Roman"/>
          <w:sz w:val="22"/>
          <w:szCs w:val="22"/>
        </w:rPr>
        <w:t xml:space="preserve"> por:</w:t>
      </w:r>
    </w:p>
    <w:p w:rsidR="003B067D" w:rsidRPr="007C635D" w:rsidRDefault="003B067D" w:rsidP="003B06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7C635D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7C635D">
        <w:rPr>
          <w:rFonts w:ascii="Times New Roman" w:hAnsi="Times New Roman"/>
          <w:b/>
          <w:sz w:val="22"/>
          <w:szCs w:val="22"/>
        </w:rPr>
        <w:t>procedência</w:t>
      </w:r>
      <w:r w:rsidRPr="007C635D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7C635D">
        <w:rPr>
          <w:rFonts w:ascii="Times New Roman" w:eastAsia="Calibri" w:hAnsi="Times New Roman"/>
          <w:sz w:val="22"/>
          <w:szCs w:val="22"/>
        </w:rPr>
        <w:t xml:space="preserve"> </w:t>
      </w:r>
      <w:r w:rsidR="00050280" w:rsidRPr="007C635D">
        <w:rPr>
          <w:rFonts w:ascii="Times New Roman" w:hAnsi="Times New Roman"/>
          <w:sz w:val="22"/>
          <w:szCs w:val="22"/>
        </w:rPr>
        <w:t>JAIME BOFF – ARQUITETURA E CONSTRUÇÕES LTDA</w:t>
      </w:r>
      <w:r w:rsidRPr="007C635D">
        <w:rPr>
          <w:rFonts w:ascii="Times New Roman" w:hAnsi="Times New Roman"/>
          <w:sz w:val="22"/>
          <w:szCs w:val="22"/>
        </w:rPr>
        <w:t>.</w:t>
      </w:r>
      <w:r w:rsidRPr="007C635D">
        <w:rPr>
          <w:rFonts w:ascii="Times New Roman" w:eastAsia="Calibri" w:hAnsi="Times New Roman"/>
          <w:sz w:val="22"/>
          <w:szCs w:val="22"/>
        </w:rPr>
        <w:t>, com o fim de</w:t>
      </w:r>
      <w:r w:rsidRPr="007C635D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além da impugnante possuir situação de extinção no CNPJ em </w:t>
      </w:r>
      <w:r w:rsidR="00050280" w:rsidRPr="007C635D">
        <w:rPr>
          <w:rFonts w:ascii="Times New Roman" w:hAnsi="Times New Roman"/>
          <w:sz w:val="22"/>
          <w:szCs w:val="22"/>
        </w:rPr>
        <w:t>02</w:t>
      </w:r>
      <w:r w:rsidRPr="007C635D">
        <w:rPr>
          <w:rFonts w:ascii="Times New Roman" w:hAnsi="Times New Roman"/>
          <w:sz w:val="22"/>
          <w:szCs w:val="22"/>
        </w:rPr>
        <w:t>/0</w:t>
      </w:r>
      <w:r w:rsidR="00050280" w:rsidRPr="007C635D">
        <w:rPr>
          <w:rFonts w:ascii="Times New Roman" w:hAnsi="Times New Roman"/>
          <w:sz w:val="22"/>
          <w:szCs w:val="22"/>
        </w:rPr>
        <w:t>5</w:t>
      </w:r>
      <w:r w:rsidRPr="007C635D">
        <w:rPr>
          <w:rFonts w:ascii="Times New Roman" w:hAnsi="Times New Roman"/>
          <w:sz w:val="22"/>
          <w:szCs w:val="22"/>
        </w:rPr>
        <w:t>/201</w:t>
      </w:r>
      <w:r w:rsidR="00050280" w:rsidRPr="007C635D">
        <w:rPr>
          <w:rFonts w:ascii="Times New Roman" w:hAnsi="Times New Roman"/>
          <w:sz w:val="22"/>
          <w:szCs w:val="22"/>
        </w:rPr>
        <w:t>6</w:t>
      </w:r>
      <w:r w:rsidRPr="007C635D">
        <w:rPr>
          <w:rFonts w:ascii="Times New Roman" w:hAnsi="Times New Roman"/>
          <w:sz w:val="22"/>
          <w:szCs w:val="22"/>
        </w:rPr>
        <w:t>, demonstrou sua inatividade desde o início de 2012.</w:t>
      </w:r>
    </w:p>
    <w:p w:rsidR="003B067D" w:rsidRPr="007C635D" w:rsidRDefault="003B067D" w:rsidP="003B06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  <w:u w:val="single"/>
        </w:rPr>
      </w:pPr>
      <w:r w:rsidRPr="007C635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C635D">
        <w:rPr>
          <w:rFonts w:ascii="Times New Roman" w:hAnsi="Times New Roman"/>
          <w:sz w:val="22"/>
          <w:szCs w:val="22"/>
        </w:rPr>
        <w:t xml:space="preserve"> à Gerência Financeira para </w:t>
      </w:r>
      <w:r w:rsidRPr="007C635D">
        <w:rPr>
          <w:rFonts w:ascii="Times New Roman" w:hAnsi="Times New Roman"/>
          <w:b/>
          <w:sz w:val="22"/>
          <w:szCs w:val="22"/>
        </w:rPr>
        <w:t>notificar</w:t>
      </w:r>
      <w:r w:rsidRPr="007C635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</w:t>
      </w:r>
      <w:r w:rsidR="00050280" w:rsidRPr="007C635D">
        <w:rPr>
          <w:rFonts w:ascii="Times New Roman" w:hAnsi="Times New Roman"/>
          <w:sz w:val="22"/>
          <w:szCs w:val="22"/>
        </w:rPr>
        <w:t xml:space="preserve">, </w:t>
      </w:r>
      <w:r w:rsidR="00050280" w:rsidRPr="007C635D">
        <w:rPr>
          <w:rFonts w:ascii="Times New Roman" w:hAnsi="Times New Roman"/>
          <w:sz w:val="22"/>
          <w:szCs w:val="22"/>
          <w:u w:val="single"/>
        </w:rPr>
        <w:t>observando, ainda, o endereço atual informado pela Contribuinte - Av. Rio Branco, nº 265/1501 CEP 95010-060 em Caxias do Sul – RS</w:t>
      </w:r>
      <w:r w:rsidRPr="007C635D">
        <w:rPr>
          <w:rFonts w:ascii="Times New Roman" w:hAnsi="Times New Roman"/>
          <w:sz w:val="22"/>
          <w:szCs w:val="22"/>
          <w:u w:val="single"/>
        </w:rPr>
        <w:t>.</w:t>
      </w:r>
      <w:bookmarkStart w:id="0" w:name="_GoBack"/>
      <w:bookmarkEnd w:id="0"/>
    </w:p>
    <w:p w:rsidR="003B067D" w:rsidRPr="007C635D" w:rsidRDefault="003B067D" w:rsidP="003B06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C635D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3B067D" w:rsidRPr="007C635D" w:rsidRDefault="003B067D" w:rsidP="003B067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7C635D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3B067D" w:rsidRPr="007C635D" w:rsidRDefault="003B067D" w:rsidP="003B067D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C635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B067D" w:rsidRPr="007C635D" w:rsidRDefault="003B067D" w:rsidP="003B067D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sz w:val="22"/>
          <w:szCs w:val="22"/>
        </w:rPr>
        <w:t xml:space="preserve">À Gerência Financeira para </w:t>
      </w:r>
      <w:r w:rsidRPr="007C635D">
        <w:rPr>
          <w:rFonts w:ascii="Times New Roman" w:hAnsi="Times New Roman"/>
          <w:b/>
          <w:sz w:val="22"/>
          <w:szCs w:val="22"/>
        </w:rPr>
        <w:t>notificar</w:t>
      </w:r>
      <w:r w:rsidRPr="007C635D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050280" w:rsidRPr="007C635D">
        <w:rPr>
          <w:rFonts w:ascii="Times New Roman" w:hAnsi="Times New Roman"/>
          <w:sz w:val="22"/>
          <w:szCs w:val="22"/>
        </w:rPr>
        <w:t xml:space="preserve">, </w:t>
      </w:r>
      <w:r w:rsidR="00050280" w:rsidRPr="007C635D">
        <w:rPr>
          <w:rFonts w:ascii="Times New Roman" w:hAnsi="Times New Roman"/>
          <w:sz w:val="22"/>
          <w:szCs w:val="22"/>
          <w:u w:val="single"/>
        </w:rPr>
        <w:t>observando o endereço informado pela Contribuinte - Av. Rio Branco, nº 265/1501 CEP 95010-060 em Caxias do Sul – RS</w:t>
      </w:r>
      <w:r w:rsidRPr="007C635D">
        <w:rPr>
          <w:rFonts w:ascii="Times New Roman" w:hAnsi="Times New Roman"/>
          <w:sz w:val="22"/>
          <w:szCs w:val="22"/>
        </w:rPr>
        <w:t>;</w:t>
      </w:r>
    </w:p>
    <w:p w:rsidR="003B067D" w:rsidRPr="007C635D" w:rsidRDefault="003B067D" w:rsidP="003B067D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hAnsi="Times New Roman"/>
          <w:sz w:val="22"/>
          <w:szCs w:val="22"/>
        </w:rPr>
        <w:t>À Gerência de Atendimento e Fiscalização para promover a interrupção</w:t>
      </w:r>
      <w:r w:rsidR="00050280" w:rsidRPr="007C635D">
        <w:rPr>
          <w:rFonts w:ascii="Times New Roman" w:hAnsi="Times New Roman"/>
          <w:sz w:val="22"/>
          <w:szCs w:val="22"/>
        </w:rPr>
        <w:t>/baixa</w:t>
      </w:r>
      <w:r w:rsidRPr="007C635D">
        <w:rPr>
          <w:rFonts w:ascii="Times New Roman" w:hAnsi="Times New Roman"/>
          <w:sz w:val="22"/>
          <w:szCs w:val="22"/>
        </w:rPr>
        <w:t xml:space="preserve"> de ofício, a fim de adequar o registro de acordo com os termos dessa deliberação.</w:t>
      </w:r>
    </w:p>
    <w:p w:rsidR="003B067D" w:rsidRPr="007C635D" w:rsidRDefault="003B067D" w:rsidP="007C635D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3B067D" w:rsidRPr="007C635D" w:rsidRDefault="003B067D" w:rsidP="007C635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C635D">
        <w:rPr>
          <w:rFonts w:ascii="Times New Roman" w:eastAsia="Calibri" w:hAnsi="Times New Roman"/>
          <w:sz w:val="22"/>
          <w:szCs w:val="22"/>
        </w:rPr>
        <w:t>Porto Alegre, 15 de maio de 2018</w:t>
      </w:r>
      <w:r w:rsidRPr="007C635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9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C635D" w:rsidRPr="007C635D" w:rsidTr="00BE6FEA">
        <w:trPr>
          <w:trHeight w:val="175"/>
        </w:trPr>
        <w:tc>
          <w:tcPr>
            <w:tcW w:w="2479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C635D" w:rsidRPr="007C635D" w:rsidTr="00BE6FEA">
        <w:trPr>
          <w:trHeight w:val="181"/>
        </w:trPr>
        <w:tc>
          <w:tcPr>
            <w:tcW w:w="2479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C635D" w:rsidRPr="007C635D" w:rsidTr="00BE6FEA">
        <w:trPr>
          <w:trHeight w:val="181"/>
        </w:trPr>
        <w:tc>
          <w:tcPr>
            <w:tcW w:w="2479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C635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C635D" w:rsidRPr="007C635D" w:rsidTr="00BE6FEA">
        <w:trPr>
          <w:trHeight w:val="181"/>
        </w:trPr>
        <w:tc>
          <w:tcPr>
            <w:tcW w:w="2479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C635D" w:rsidRPr="007C635D" w:rsidRDefault="007C635D" w:rsidP="007C63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63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0948DE" w:rsidRDefault="000948DE" w:rsidP="003B067D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sectPr w:rsidR="000948D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E6" w:rsidRDefault="007E56E6">
      <w:r>
        <w:separator/>
      </w:r>
    </w:p>
  </w:endnote>
  <w:endnote w:type="continuationSeparator" w:id="0">
    <w:p w:rsidR="007E56E6" w:rsidRDefault="007E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E6" w:rsidRDefault="007E56E6">
      <w:r>
        <w:separator/>
      </w:r>
    </w:p>
  </w:footnote>
  <w:footnote w:type="continuationSeparator" w:id="0">
    <w:p w:rsidR="007E56E6" w:rsidRDefault="007E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0B8ECF2" wp14:editId="4166DC3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21B6E85" wp14:editId="116BA8C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6A379B0F" wp14:editId="72447F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9CB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0280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48DE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E7004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70FC"/>
    <w:rsid w:val="00297C97"/>
    <w:rsid w:val="002A0CA7"/>
    <w:rsid w:val="002A217E"/>
    <w:rsid w:val="002A4D81"/>
    <w:rsid w:val="002A6B7E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2F7E3D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067D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0E15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151A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5132"/>
    <w:rsid w:val="004D66ED"/>
    <w:rsid w:val="004E14F8"/>
    <w:rsid w:val="004E3809"/>
    <w:rsid w:val="004E3996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35D"/>
    <w:rsid w:val="007C68A8"/>
    <w:rsid w:val="007C7C54"/>
    <w:rsid w:val="007D20ED"/>
    <w:rsid w:val="007E56E6"/>
    <w:rsid w:val="007E6C55"/>
    <w:rsid w:val="007E71E0"/>
    <w:rsid w:val="007F1371"/>
    <w:rsid w:val="007F7673"/>
    <w:rsid w:val="008022AA"/>
    <w:rsid w:val="00802B60"/>
    <w:rsid w:val="00802E3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945D4"/>
    <w:rsid w:val="008A04CE"/>
    <w:rsid w:val="008A23E7"/>
    <w:rsid w:val="008A46E3"/>
    <w:rsid w:val="008B0962"/>
    <w:rsid w:val="008B2420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084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6618A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7986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F3C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6F3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19BB"/>
    <w:rsid w:val="00E624F3"/>
    <w:rsid w:val="00E644D8"/>
    <w:rsid w:val="00E71592"/>
    <w:rsid w:val="00E7292D"/>
    <w:rsid w:val="00E75393"/>
    <w:rsid w:val="00E770C2"/>
    <w:rsid w:val="00E8550E"/>
    <w:rsid w:val="00E90912"/>
    <w:rsid w:val="00E92044"/>
    <w:rsid w:val="00E92AD8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2A240EA-9000-41C4-ABDB-0C4A8D5B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17BA2-3C55-402E-BB80-8FE9D48F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39</TotalTime>
  <Pages>4</Pages>
  <Words>1567</Words>
  <Characters>8464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2018-03-19T14:40:00Z</cp:lastPrinted>
  <dcterms:created xsi:type="dcterms:W3CDTF">2018-05-09T21:26:00Z</dcterms:created>
  <dcterms:modified xsi:type="dcterms:W3CDTF">2018-05-15T18:28:00Z</dcterms:modified>
  <cp:contentStatus>2012, 2013, 2014, 2015 e 2016</cp:contentStatus>
</cp:coreProperties>
</file>