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684646" w:rsidRDefault="00183A48" w:rsidP="00F53E37">
            <w:pPr>
              <w:tabs>
                <w:tab w:val="left" w:pos="1418"/>
              </w:tabs>
              <w:rPr>
                <w:rFonts w:ascii="Times New Roman" w:hAnsi="Times New Roman"/>
                <w:sz w:val="22"/>
                <w:szCs w:val="22"/>
              </w:rPr>
            </w:pPr>
            <w:r w:rsidRPr="00684646">
              <w:rPr>
                <w:rFonts w:ascii="Times New Roman" w:hAnsi="Times New Roman"/>
                <w:sz w:val="22"/>
                <w:szCs w:val="22"/>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684646" w:rsidRDefault="008571C5" w:rsidP="008571C5">
            <w:pPr>
              <w:tabs>
                <w:tab w:val="left" w:pos="1418"/>
              </w:tabs>
              <w:rPr>
                <w:rFonts w:ascii="Times New Roman" w:hAnsi="Times New Roman"/>
                <w:sz w:val="22"/>
                <w:szCs w:val="22"/>
              </w:rPr>
            </w:pPr>
            <w:r>
              <w:rPr>
                <w:rFonts w:ascii="Times New Roman" w:hAnsi="Times New Roman"/>
                <w:sz w:val="22"/>
                <w:szCs w:val="22"/>
              </w:rPr>
              <w:t>542</w:t>
            </w:r>
            <w:r w:rsidR="009519EB" w:rsidRPr="00684646">
              <w:rPr>
                <w:rFonts w:ascii="Times New Roman" w:hAnsi="Times New Roman"/>
                <w:sz w:val="22"/>
                <w:szCs w:val="22"/>
              </w:rPr>
              <w:t>/201</w:t>
            </w:r>
            <w:r w:rsidR="008059D0" w:rsidRPr="00684646">
              <w:rPr>
                <w:rFonts w:ascii="Times New Roman" w:hAnsi="Times New Roman"/>
                <w:sz w:val="22"/>
                <w:szCs w:val="22"/>
              </w:rPr>
              <w:t>8</w:t>
            </w:r>
          </w:p>
        </w:tc>
      </w:tr>
      <w:tr w:rsidR="00AE0258"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684646" w:rsidRDefault="00F53E37" w:rsidP="0077400B">
            <w:pPr>
              <w:tabs>
                <w:tab w:val="left" w:pos="1418"/>
              </w:tabs>
              <w:rPr>
                <w:rFonts w:ascii="Times New Roman" w:hAnsi="Times New Roman"/>
                <w:sz w:val="22"/>
                <w:szCs w:val="22"/>
              </w:rPr>
            </w:pPr>
            <w:r w:rsidRPr="00684646">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684646" w:rsidRDefault="008571C5" w:rsidP="008571C5">
            <w:pPr>
              <w:tabs>
                <w:tab w:val="left" w:pos="1418"/>
              </w:tabs>
              <w:rPr>
                <w:rFonts w:ascii="Times New Roman" w:hAnsi="Times New Roman"/>
                <w:sz w:val="22"/>
                <w:szCs w:val="22"/>
              </w:rPr>
            </w:pPr>
            <w:r>
              <w:rPr>
                <w:rFonts w:ascii="Times New Roman" w:hAnsi="Times New Roman"/>
                <w:sz w:val="22"/>
                <w:szCs w:val="22"/>
              </w:rPr>
              <w:t>1221</w:t>
            </w:r>
            <w:r w:rsidR="008059D0" w:rsidRPr="00684646">
              <w:rPr>
                <w:rFonts w:ascii="Times New Roman" w:hAnsi="Times New Roman"/>
                <w:sz w:val="22"/>
                <w:szCs w:val="22"/>
              </w:rPr>
              <w:t>/2018</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684646" w:rsidRDefault="008216CF" w:rsidP="001812D1">
            <w:pPr>
              <w:tabs>
                <w:tab w:val="left" w:pos="1418"/>
              </w:tabs>
              <w:rPr>
                <w:rFonts w:ascii="Times New Roman" w:eastAsia="Calibri" w:hAnsi="Times New Roman"/>
                <w:sz w:val="22"/>
                <w:szCs w:val="22"/>
              </w:rPr>
            </w:pPr>
            <w:r w:rsidRPr="00684646">
              <w:rPr>
                <w:rFonts w:ascii="Times New Roman" w:eastAsia="Calibri" w:hAnsi="Times New Roman"/>
                <w:sz w:val="22"/>
                <w:szCs w:val="22"/>
              </w:rPr>
              <w:t xml:space="preserve">Arq. Urb. </w:t>
            </w:r>
            <w:r w:rsidR="008571C5">
              <w:rPr>
                <w:rFonts w:ascii="Times New Roman" w:eastAsia="Calibri" w:hAnsi="Times New Roman"/>
                <w:sz w:val="22"/>
                <w:szCs w:val="22"/>
              </w:rPr>
              <w:t>HELEN GULARTE CABRAL</w:t>
            </w:r>
          </w:p>
          <w:p w:rsidR="00F72814" w:rsidRPr="00684646" w:rsidRDefault="004B32EE" w:rsidP="00721510">
            <w:pPr>
              <w:tabs>
                <w:tab w:val="left" w:pos="1418"/>
              </w:tabs>
              <w:rPr>
                <w:rFonts w:ascii="Times New Roman" w:eastAsia="Calibri" w:hAnsi="Times New Roman"/>
                <w:sz w:val="22"/>
                <w:szCs w:val="22"/>
              </w:rPr>
            </w:pPr>
            <w:r w:rsidRPr="00684646">
              <w:rPr>
                <w:rFonts w:ascii="Times New Roman" w:eastAsia="Calibri" w:hAnsi="Times New Roman"/>
                <w:sz w:val="22"/>
                <w:szCs w:val="22"/>
              </w:rPr>
              <w:t>CPF</w:t>
            </w:r>
            <w:r w:rsidR="00F72814" w:rsidRPr="00684646">
              <w:rPr>
                <w:rFonts w:ascii="Times New Roman" w:eastAsia="Calibri" w:hAnsi="Times New Roman"/>
                <w:sz w:val="22"/>
                <w:szCs w:val="22"/>
              </w:rPr>
              <w:t xml:space="preserve"> </w:t>
            </w:r>
            <w:r w:rsidR="00721510">
              <w:rPr>
                <w:rFonts w:ascii="Times New Roman" w:eastAsia="Calibri" w:hAnsi="Times New Roman"/>
                <w:sz w:val="22"/>
                <w:szCs w:val="22"/>
              </w:rPr>
              <w:t>009.083.840-84</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COBRANÇA DE ANUIDADE</w:t>
            </w:r>
            <w:r w:rsidR="00F96CA7" w:rsidRPr="00684646">
              <w:rPr>
                <w:rFonts w:ascii="Times New Roman" w:hAnsi="Times New Roman"/>
                <w:sz w:val="22"/>
                <w:szCs w:val="22"/>
              </w:rPr>
              <w:t>.</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CD3E14">
            <w:pPr>
              <w:tabs>
                <w:tab w:val="left" w:pos="1418"/>
              </w:tabs>
              <w:rPr>
                <w:rFonts w:ascii="Times New Roman" w:hAnsi="Times New Roman"/>
                <w:sz w:val="22"/>
                <w:szCs w:val="22"/>
              </w:rPr>
            </w:pPr>
            <w:r w:rsidRPr="00684646">
              <w:rPr>
                <w:rFonts w:ascii="Times New Roman" w:hAnsi="Times New Roman"/>
                <w:sz w:val="22"/>
                <w:szCs w:val="22"/>
              </w:rPr>
              <w:t>RELATOR</w:t>
            </w:r>
            <w:r w:rsidR="00CD3E14" w:rsidRPr="00684646">
              <w:rPr>
                <w:rFonts w:ascii="Times New Roman" w:hAnsi="Times New Roman"/>
                <w:sz w:val="22"/>
                <w:szCs w:val="22"/>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8201B" w:rsidP="00E740AA">
            <w:pPr>
              <w:tabs>
                <w:tab w:val="left" w:pos="1418"/>
              </w:tabs>
              <w:spacing w:line="276" w:lineRule="auto"/>
              <w:rPr>
                <w:rFonts w:ascii="Times New Roman" w:hAnsi="Times New Roman"/>
                <w:sz w:val="22"/>
                <w:szCs w:val="22"/>
              </w:rPr>
            </w:pPr>
            <w:r w:rsidRPr="00684646">
              <w:rPr>
                <w:rFonts w:ascii="Times New Roman" w:hAnsi="Times New Roman"/>
                <w:sz w:val="22"/>
                <w:szCs w:val="22"/>
              </w:rPr>
              <w:t>CONSELHEIR</w:t>
            </w:r>
            <w:r w:rsidR="00CD3E14" w:rsidRPr="00684646">
              <w:rPr>
                <w:rFonts w:ascii="Times New Roman" w:hAnsi="Times New Roman"/>
                <w:sz w:val="22"/>
                <w:szCs w:val="22"/>
              </w:rPr>
              <w:t>O(A)</w:t>
            </w:r>
            <w:r w:rsidR="00D00608" w:rsidRPr="00684646">
              <w:rPr>
                <w:rFonts w:ascii="Times New Roman" w:hAnsi="Times New Roman"/>
                <w:sz w:val="22"/>
                <w:szCs w:val="22"/>
              </w:rPr>
              <w:t xml:space="preserve"> </w:t>
            </w:r>
            <w:r w:rsidR="00E740AA">
              <w:rPr>
                <w:rFonts w:ascii="Times New Roman" w:hAnsi="Times New Roman"/>
                <w:sz w:val="22"/>
                <w:szCs w:val="22"/>
              </w:rPr>
              <w:t>RAQUEL RHODEN BRESOLIN</w:t>
            </w:r>
          </w:p>
        </w:tc>
      </w:tr>
      <w:tr w:rsidR="006B5082" w:rsidRPr="00684646"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684646" w:rsidRDefault="00B23D2B" w:rsidP="004052D8">
            <w:pPr>
              <w:tabs>
                <w:tab w:val="left" w:pos="1418"/>
              </w:tabs>
              <w:spacing w:line="360" w:lineRule="auto"/>
              <w:jc w:val="center"/>
              <w:rPr>
                <w:rFonts w:ascii="Times New Roman" w:hAnsi="Times New Roman"/>
                <w:b/>
                <w:sz w:val="22"/>
                <w:szCs w:val="22"/>
              </w:rPr>
            </w:pPr>
            <w:r w:rsidRPr="00684646">
              <w:rPr>
                <w:rFonts w:ascii="Times New Roman" w:hAnsi="Times New Roman"/>
                <w:b/>
                <w:sz w:val="22"/>
                <w:szCs w:val="22"/>
              </w:rPr>
              <w:t>RELATÓRIO</w:t>
            </w:r>
          </w:p>
          <w:p w:rsidR="004052D8" w:rsidRPr="00684646" w:rsidRDefault="004052D8" w:rsidP="004052D8">
            <w:pPr>
              <w:tabs>
                <w:tab w:val="left" w:pos="1418"/>
              </w:tabs>
              <w:spacing w:line="360" w:lineRule="auto"/>
              <w:rPr>
                <w:rFonts w:ascii="Times New Roman" w:hAnsi="Times New Roman"/>
                <w:sz w:val="22"/>
                <w:szCs w:val="22"/>
              </w:rPr>
            </w:pPr>
          </w:p>
        </w:tc>
      </w:tr>
    </w:tbl>
    <w:p w:rsidR="00000ACA" w:rsidRPr="00684646"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 xml:space="preserve">Em </w:t>
      </w:r>
      <w:r w:rsidR="00BC4F70" w:rsidRPr="00684646">
        <w:rPr>
          <w:rFonts w:ascii="Times New Roman" w:eastAsia="Calibri" w:hAnsi="Times New Roman"/>
          <w:sz w:val="22"/>
          <w:szCs w:val="22"/>
        </w:rPr>
        <w:t>1</w:t>
      </w:r>
      <w:r w:rsidR="00EC3F0F">
        <w:rPr>
          <w:rFonts w:ascii="Times New Roman" w:eastAsia="Calibri" w:hAnsi="Times New Roman"/>
          <w:sz w:val="22"/>
          <w:szCs w:val="22"/>
        </w:rPr>
        <w:t>3</w:t>
      </w:r>
      <w:r w:rsidR="00F8201B" w:rsidRPr="00684646">
        <w:rPr>
          <w:rFonts w:ascii="Times New Roman" w:eastAsia="Calibri" w:hAnsi="Times New Roman"/>
          <w:sz w:val="22"/>
          <w:szCs w:val="22"/>
        </w:rPr>
        <w:t xml:space="preserve"> de </w:t>
      </w:r>
      <w:r w:rsidR="00EC3F0F">
        <w:rPr>
          <w:rFonts w:ascii="Times New Roman" w:eastAsia="Calibri" w:hAnsi="Times New Roman"/>
          <w:sz w:val="22"/>
          <w:szCs w:val="22"/>
        </w:rPr>
        <w:t>junho</w:t>
      </w:r>
      <w:r w:rsidR="009519EB" w:rsidRPr="00684646">
        <w:rPr>
          <w:rFonts w:ascii="Times New Roman" w:eastAsia="Calibri" w:hAnsi="Times New Roman"/>
          <w:sz w:val="22"/>
          <w:szCs w:val="22"/>
        </w:rPr>
        <w:t xml:space="preserve"> 201</w:t>
      </w:r>
      <w:r w:rsidR="008059D0" w:rsidRPr="00684646">
        <w:rPr>
          <w:rFonts w:ascii="Times New Roman" w:eastAsia="Calibri" w:hAnsi="Times New Roman"/>
          <w:sz w:val="22"/>
          <w:szCs w:val="22"/>
        </w:rPr>
        <w:t>8</w:t>
      </w:r>
      <w:r w:rsidRPr="00684646">
        <w:rPr>
          <w:rFonts w:ascii="Times New Roman" w:eastAsia="Calibri" w:hAnsi="Times New Roman"/>
          <w:sz w:val="22"/>
          <w:szCs w:val="22"/>
        </w:rPr>
        <w:t xml:space="preserve">, a Gerência Financeira do CAU/RS encaminhou a Notificação Administrativa nº </w:t>
      </w:r>
      <w:r w:rsidR="00EC3F0F">
        <w:rPr>
          <w:rFonts w:ascii="Times New Roman" w:eastAsia="Calibri" w:hAnsi="Times New Roman"/>
          <w:sz w:val="22"/>
          <w:szCs w:val="22"/>
        </w:rPr>
        <w:t>1221</w:t>
      </w:r>
      <w:r w:rsidR="009519EB" w:rsidRPr="00684646">
        <w:rPr>
          <w:rFonts w:ascii="Times New Roman" w:eastAsia="Calibri" w:hAnsi="Times New Roman"/>
          <w:sz w:val="22"/>
          <w:szCs w:val="22"/>
        </w:rPr>
        <w:t>/2018</w:t>
      </w:r>
      <w:r w:rsidR="006E1A9B" w:rsidRPr="00684646">
        <w:rPr>
          <w:rFonts w:ascii="Times New Roman" w:eastAsia="Calibri" w:hAnsi="Times New Roman"/>
          <w:sz w:val="22"/>
          <w:szCs w:val="22"/>
        </w:rPr>
        <w:t xml:space="preserve"> à</w:t>
      </w:r>
      <w:r w:rsidR="008216CF" w:rsidRPr="00684646">
        <w:rPr>
          <w:rFonts w:ascii="Times New Roman" w:eastAsia="Calibri" w:hAnsi="Times New Roman"/>
          <w:sz w:val="22"/>
          <w:szCs w:val="22"/>
        </w:rPr>
        <w:t xml:space="preserve"> Arquiteta e Urbanista </w:t>
      </w:r>
      <w:r w:rsidR="00C2286A" w:rsidRPr="00E740AA">
        <w:rPr>
          <w:rFonts w:ascii="Times New Roman" w:hAnsi="Times New Roman"/>
          <w:sz w:val="22"/>
          <w:szCs w:val="22"/>
        </w:rPr>
        <w:t>HELEN GULARTE CABRAL</w:t>
      </w:r>
      <w:r w:rsidR="00C2286A" w:rsidRPr="00684646">
        <w:rPr>
          <w:rFonts w:ascii="Times New Roman" w:eastAsia="Calibri" w:hAnsi="Times New Roman"/>
          <w:sz w:val="22"/>
          <w:szCs w:val="22"/>
        </w:rPr>
        <w:t xml:space="preserve"> – CPF </w:t>
      </w:r>
      <w:r w:rsidR="00C2286A" w:rsidRPr="00E740AA">
        <w:rPr>
          <w:rFonts w:ascii="Times New Roman" w:hAnsi="Times New Roman"/>
          <w:sz w:val="22"/>
          <w:szCs w:val="22"/>
        </w:rPr>
        <w:t>009.083.840-84</w:t>
      </w:r>
      <w:r w:rsidR="008A4DC4" w:rsidRPr="00684646">
        <w:rPr>
          <w:rFonts w:ascii="Times New Roman" w:hAnsi="Times New Roman"/>
          <w:sz w:val="22"/>
          <w:szCs w:val="22"/>
        </w:rPr>
        <w:t xml:space="preserve">, </w:t>
      </w:r>
      <w:r w:rsidRPr="00684646">
        <w:rPr>
          <w:rFonts w:ascii="Times New Roman" w:eastAsia="Calibri" w:hAnsi="Times New Roman"/>
          <w:sz w:val="22"/>
          <w:szCs w:val="22"/>
        </w:rPr>
        <w:t>concedendo-lhe o prazo de 30 (trinta) dias para saldar ou parcelar o débito referente às anuidades de 2014, 2015, 2016 e 2017 em atraso ou para oferecer impugnação escrita a esta Comissão</w:t>
      </w:r>
      <w:r w:rsidR="00A813B8" w:rsidRPr="00684646">
        <w:rPr>
          <w:rFonts w:ascii="Times New Roman" w:eastAsia="Calibri" w:hAnsi="Times New Roman"/>
          <w:sz w:val="22"/>
          <w:szCs w:val="22"/>
        </w:rPr>
        <w:t xml:space="preserve"> (fl. </w:t>
      </w:r>
      <w:r w:rsidR="00BC4F70" w:rsidRPr="00684646">
        <w:rPr>
          <w:rFonts w:ascii="Times New Roman" w:eastAsia="Calibri" w:hAnsi="Times New Roman"/>
          <w:sz w:val="22"/>
          <w:szCs w:val="22"/>
        </w:rPr>
        <w:t>1</w:t>
      </w:r>
      <w:r w:rsidR="00EC3F0F">
        <w:rPr>
          <w:rFonts w:ascii="Times New Roman" w:eastAsia="Calibri" w:hAnsi="Times New Roman"/>
          <w:sz w:val="22"/>
          <w:szCs w:val="22"/>
        </w:rPr>
        <w:t>0</w:t>
      </w:r>
      <w:r w:rsidR="00A813B8" w:rsidRPr="00684646">
        <w:rPr>
          <w:rFonts w:ascii="Times New Roman" w:eastAsia="Calibri" w:hAnsi="Times New Roman"/>
          <w:sz w:val="22"/>
          <w:szCs w:val="22"/>
        </w:rPr>
        <w:t>)</w:t>
      </w:r>
      <w:r w:rsidRPr="00684646">
        <w:rPr>
          <w:rFonts w:ascii="Times New Roman" w:eastAsia="Calibri" w:hAnsi="Times New Roman"/>
          <w:sz w:val="22"/>
          <w:szCs w:val="22"/>
        </w:rPr>
        <w:t>.</w:t>
      </w:r>
    </w:p>
    <w:p w:rsidR="006C3AAC" w:rsidRPr="00684646" w:rsidRDefault="00C86AF8"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Notificada</w:t>
      </w:r>
      <w:r w:rsidR="000A723B">
        <w:rPr>
          <w:rFonts w:ascii="Times New Roman" w:eastAsia="Calibri" w:hAnsi="Times New Roman"/>
          <w:sz w:val="22"/>
          <w:szCs w:val="22"/>
        </w:rPr>
        <w:t xml:space="preserve"> via edital</w:t>
      </w:r>
      <w:r w:rsidR="007F77A3" w:rsidRPr="00684646">
        <w:rPr>
          <w:rFonts w:ascii="Times New Roman" w:eastAsia="Calibri" w:hAnsi="Times New Roman"/>
          <w:sz w:val="22"/>
          <w:szCs w:val="22"/>
        </w:rPr>
        <w:t xml:space="preserve"> </w:t>
      </w:r>
      <w:r w:rsidRPr="00684646">
        <w:rPr>
          <w:rFonts w:ascii="Times New Roman" w:eastAsia="Calibri" w:hAnsi="Times New Roman"/>
          <w:sz w:val="22"/>
          <w:szCs w:val="22"/>
        </w:rPr>
        <w:t>(fl.1</w:t>
      </w:r>
      <w:r w:rsidR="00BC4F70" w:rsidRPr="00684646">
        <w:rPr>
          <w:rFonts w:ascii="Times New Roman" w:eastAsia="Calibri" w:hAnsi="Times New Roman"/>
          <w:sz w:val="22"/>
          <w:szCs w:val="22"/>
        </w:rPr>
        <w:t>2</w:t>
      </w:r>
      <w:r w:rsidRPr="00684646">
        <w:rPr>
          <w:rFonts w:ascii="Times New Roman" w:eastAsia="Calibri" w:hAnsi="Times New Roman"/>
          <w:sz w:val="22"/>
          <w:szCs w:val="22"/>
        </w:rPr>
        <w:t>)</w:t>
      </w:r>
      <w:r w:rsidR="006E1A9B" w:rsidRPr="00684646">
        <w:rPr>
          <w:rFonts w:ascii="Times New Roman" w:eastAsia="Calibri" w:hAnsi="Times New Roman"/>
          <w:sz w:val="22"/>
          <w:szCs w:val="22"/>
        </w:rPr>
        <w:t xml:space="preserve">, </w:t>
      </w:r>
      <w:r w:rsidR="005A4C74" w:rsidRPr="00684646">
        <w:rPr>
          <w:rFonts w:ascii="Times New Roman" w:eastAsia="Calibri" w:hAnsi="Times New Roman"/>
          <w:sz w:val="22"/>
          <w:szCs w:val="22"/>
        </w:rPr>
        <w:t>a</w:t>
      </w:r>
      <w:r w:rsidR="006E1A9B" w:rsidRPr="00684646">
        <w:rPr>
          <w:rFonts w:ascii="Times New Roman" w:eastAsia="Calibri" w:hAnsi="Times New Roman"/>
          <w:sz w:val="22"/>
          <w:szCs w:val="22"/>
        </w:rPr>
        <w:t xml:space="preserve"> </w:t>
      </w:r>
      <w:r w:rsidR="00844BD0">
        <w:rPr>
          <w:rFonts w:ascii="Times New Roman" w:eastAsia="Calibri" w:hAnsi="Times New Roman"/>
          <w:sz w:val="22"/>
          <w:szCs w:val="22"/>
        </w:rPr>
        <w:t xml:space="preserve">profissional Arquiteta e Urbanista </w:t>
      </w:r>
      <w:r w:rsidR="00000ACA" w:rsidRPr="00684646">
        <w:rPr>
          <w:rFonts w:ascii="Times New Roman" w:eastAsia="Calibri" w:hAnsi="Times New Roman"/>
          <w:sz w:val="22"/>
          <w:szCs w:val="22"/>
        </w:rPr>
        <w:t>apresent</w:t>
      </w:r>
      <w:r w:rsidR="002970FC" w:rsidRPr="00684646">
        <w:rPr>
          <w:rFonts w:ascii="Times New Roman" w:eastAsia="Calibri" w:hAnsi="Times New Roman"/>
          <w:sz w:val="22"/>
          <w:szCs w:val="22"/>
        </w:rPr>
        <w:t>ou impugnação (fl</w:t>
      </w:r>
      <w:r w:rsidR="00D45DBA">
        <w:rPr>
          <w:rFonts w:ascii="Times New Roman" w:eastAsia="Calibri" w:hAnsi="Times New Roman"/>
          <w:sz w:val="22"/>
          <w:szCs w:val="22"/>
        </w:rPr>
        <w:t>s</w:t>
      </w:r>
      <w:r w:rsidR="002970FC" w:rsidRPr="00684646">
        <w:rPr>
          <w:rFonts w:ascii="Times New Roman" w:eastAsia="Calibri" w:hAnsi="Times New Roman"/>
          <w:sz w:val="22"/>
          <w:szCs w:val="22"/>
        </w:rPr>
        <w:t xml:space="preserve">. </w:t>
      </w:r>
      <w:r w:rsidR="00A371C2" w:rsidRPr="00684646">
        <w:rPr>
          <w:rFonts w:ascii="Times New Roman" w:eastAsia="Calibri" w:hAnsi="Times New Roman"/>
          <w:sz w:val="22"/>
          <w:szCs w:val="22"/>
        </w:rPr>
        <w:t>1</w:t>
      </w:r>
      <w:r w:rsidR="00D45DBA">
        <w:rPr>
          <w:rFonts w:ascii="Times New Roman" w:eastAsia="Calibri" w:hAnsi="Times New Roman"/>
          <w:sz w:val="22"/>
          <w:szCs w:val="22"/>
        </w:rPr>
        <w:t>3-</w:t>
      </w:r>
      <w:r w:rsidR="00336E10">
        <w:rPr>
          <w:rFonts w:ascii="Times New Roman" w:eastAsia="Calibri" w:hAnsi="Times New Roman"/>
          <w:sz w:val="22"/>
          <w:szCs w:val="22"/>
        </w:rPr>
        <w:t>16</w:t>
      </w:r>
      <w:r w:rsidR="00000ACA" w:rsidRPr="00684646">
        <w:rPr>
          <w:rFonts w:ascii="Times New Roman" w:eastAsia="Calibri" w:hAnsi="Times New Roman"/>
          <w:sz w:val="22"/>
          <w:szCs w:val="22"/>
        </w:rPr>
        <w:t>)</w:t>
      </w:r>
      <w:r w:rsidR="006C324F" w:rsidRPr="00684646">
        <w:rPr>
          <w:rFonts w:ascii="Times New Roman" w:eastAsia="Calibri" w:hAnsi="Times New Roman"/>
          <w:sz w:val="22"/>
          <w:szCs w:val="22"/>
        </w:rPr>
        <w:t xml:space="preserve">, bem como </w:t>
      </w:r>
      <w:r w:rsidR="004319B2" w:rsidRPr="00684646">
        <w:rPr>
          <w:rFonts w:ascii="Times New Roman" w:eastAsia="Calibri" w:hAnsi="Times New Roman"/>
          <w:sz w:val="22"/>
          <w:szCs w:val="22"/>
        </w:rPr>
        <w:t xml:space="preserve">juntou documentos </w:t>
      </w:r>
      <w:r w:rsidR="00BF1D76" w:rsidRPr="00684646">
        <w:rPr>
          <w:rFonts w:ascii="Times New Roman" w:eastAsia="Calibri" w:hAnsi="Times New Roman"/>
          <w:sz w:val="22"/>
          <w:szCs w:val="22"/>
        </w:rPr>
        <w:t>(fls. 1</w:t>
      </w:r>
      <w:r w:rsidR="00336E10">
        <w:rPr>
          <w:rFonts w:ascii="Times New Roman" w:eastAsia="Calibri" w:hAnsi="Times New Roman"/>
          <w:sz w:val="22"/>
          <w:szCs w:val="22"/>
        </w:rPr>
        <w:t>7</w:t>
      </w:r>
      <w:r w:rsidR="004319B2" w:rsidRPr="00684646">
        <w:rPr>
          <w:rFonts w:ascii="Times New Roman" w:eastAsia="Calibri" w:hAnsi="Times New Roman"/>
          <w:sz w:val="22"/>
          <w:szCs w:val="22"/>
        </w:rPr>
        <w:t>-</w:t>
      </w:r>
      <w:r w:rsidR="00BC4F70" w:rsidRPr="00684646">
        <w:rPr>
          <w:rFonts w:ascii="Times New Roman" w:eastAsia="Calibri" w:hAnsi="Times New Roman"/>
          <w:sz w:val="22"/>
          <w:szCs w:val="22"/>
        </w:rPr>
        <w:t>1</w:t>
      </w:r>
      <w:r w:rsidR="00336E10">
        <w:rPr>
          <w:rFonts w:ascii="Times New Roman" w:eastAsia="Calibri" w:hAnsi="Times New Roman"/>
          <w:sz w:val="22"/>
          <w:szCs w:val="22"/>
        </w:rPr>
        <w:t>9</w:t>
      </w:r>
      <w:r w:rsidR="00F52F29" w:rsidRPr="00684646">
        <w:rPr>
          <w:rFonts w:ascii="Times New Roman" w:eastAsia="Calibri" w:hAnsi="Times New Roman"/>
          <w:sz w:val="22"/>
          <w:szCs w:val="22"/>
        </w:rPr>
        <w:t>)</w:t>
      </w:r>
      <w:r w:rsidR="00000ACA" w:rsidRPr="00684646">
        <w:rPr>
          <w:rFonts w:ascii="Times New Roman" w:eastAsia="Calibri" w:hAnsi="Times New Roman"/>
          <w:sz w:val="22"/>
          <w:szCs w:val="22"/>
        </w:rPr>
        <w:t xml:space="preserve">. </w:t>
      </w:r>
      <w:r w:rsidR="00BF1D76" w:rsidRPr="00684646">
        <w:rPr>
          <w:rFonts w:ascii="Times New Roman" w:eastAsia="Calibri" w:hAnsi="Times New Roman"/>
          <w:sz w:val="22"/>
          <w:szCs w:val="22"/>
        </w:rPr>
        <w:t>Inform</w:t>
      </w:r>
      <w:r w:rsidR="00827C76" w:rsidRPr="00684646">
        <w:rPr>
          <w:rFonts w:ascii="Times New Roman" w:eastAsia="Calibri" w:hAnsi="Times New Roman"/>
          <w:sz w:val="22"/>
          <w:szCs w:val="22"/>
        </w:rPr>
        <w:t>ou</w:t>
      </w:r>
      <w:r w:rsidR="00BC4F70" w:rsidRPr="00684646">
        <w:rPr>
          <w:rFonts w:ascii="Times New Roman" w:eastAsia="Calibri" w:hAnsi="Times New Roman"/>
          <w:sz w:val="22"/>
          <w:szCs w:val="22"/>
        </w:rPr>
        <w:t xml:space="preserve">, em suma, que </w:t>
      </w:r>
      <w:r w:rsidR="00EB1378">
        <w:rPr>
          <w:rFonts w:ascii="Times New Roman" w:eastAsia="Calibri" w:hAnsi="Times New Roman"/>
          <w:sz w:val="22"/>
          <w:szCs w:val="22"/>
        </w:rPr>
        <w:t>é</w:t>
      </w:r>
      <w:r w:rsidR="00BC4F70" w:rsidRPr="00684646">
        <w:rPr>
          <w:rFonts w:ascii="Times New Roman" w:eastAsia="Calibri" w:hAnsi="Times New Roman"/>
          <w:sz w:val="22"/>
          <w:szCs w:val="22"/>
        </w:rPr>
        <w:t xml:space="preserve"> </w:t>
      </w:r>
      <w:r w:rsidR="00EB1378">
        <w:rPr>
          <w:rFonts w:ascii="Times New Roman" w:eastAsia="Calibri" w:hAnsi="Times New Roman"/>
          <w:sz w:val="22"/>
          <w:szCs w:val="22"/>
        </w:rPr>
        <w:t xml:space="preserve">servidora pública </w:t>
      </w:r>
      <w:r w:rsidR="00844BD0">
        <w:rPr>
          <w:rFonts w:ascii="Times New Roman" w:eastAsia="Calibri" w:hAnsi="Times New Roman"/>
          <w:sz w:val="22"/>
          <w:szCs w:val="22"/>
        </w:rPr>
        <w:t>federal</w:t>
      </w:r>
      <w:r w:rsidR="004C5641">
        <w:rPr>
          <w:rFonts w:ascii="Times New Roman" w:eastAsia="Calibri" w:hAnsi="Times New Roman"/>
          <w:sz w:val="22"/>
          <w:szCs w:val="22"/>
        </w:rPr>
        <w:t xml:space="preserve">, </w:t>
      </w:r>
      <w:r w:rsidR="000D5AF8">
        <w:rPr>
          <w:rFonts w:ascii="Times New Roman" w:eastAsia="Calibri" w:hAnsi="Times New Roman"/>
          <w:sz w:val="22"/>
          <w:szCs w:val="22"/>
        </w:rPr>
        <w:t xml:space="preserve">atuando no instituto federal </w:t>
      </w:r>
      <w:r w:rsidR="004E3F1C">
        <w:rPr>
          <w:rFonts w:ascii="Times New Roman" w:eastAsia="Calibri" w:hAnsi="Times New Roman"/>
          <w:sz w:val="22"/>
          <w:szCs w:val="22"/>
        </w:rPr>
        <w:t>do Rio Grande do Sul,</w:t>
      </w:r>
      <w:r w:rsidR="00844BD0">
        <w:rPr>
          <w:rFonts w:ascii="Times New Roman" w:eastAsia="Calibri" w:hAnsi="Times New Roman"/>
          <w:sz w:val="22"/>
          <w:szCs w:val="22"/>
        </w:rPr>
        <w:t xml:space="preserve"> no cargo de professora </w:t>
      </w:r>
      <w:r w:rsidR="004E3F1C">
        <w:rPr>
          <w:rFonts w:ascii="Times New Roman" w:eastAsia="Calibri" w:hAnsi="Times New Roman"/>
          <w:sz w:val="22"/>
          <w:szCs w:val="22"/>
        </w:rPr>
        <w:t xml:space="preserve">de ensino básico, técnico e tecnológico, </w:t>
      </w:r>
      <w:r w:rsidR="00EE2622">
        <w:rPr>
          <w:rFonts w:ascii="Times New Roman" w:eastAsia="Calibri" w:hAnsi="Times New Roman"/>
          <w:sz w:val="22"/>
          <w:szCs w:val="22"/>
        </w:rPr>
        <w:t xml:space="preserve">desde maio de 2011, </w:t>
      </w:r>
      <w:r w:rsidR="00844BD0">
        <w:rPr>
          <w:rFonts w:ascii="Times New Roman" w:eastAsia="Calibri" w:hAnsi="Times New Roman"/>
          <w:sz w:val="22"/>
          <w:szCs w:val="22"/>
        </w:rPr>
        <w:t>com dedicação exclusiva</w:t>
      </w:r>
      <w:r w:rsidR="004C5641">
        <w:rPr>
          <w:rFonts w:ascii="Times New Roman" w:eastAsia="Calibri" w:hAnsi="Times New Roman"/>
          <w:sz w:val="22"/>
          <w:szCs w:val="22"/>
        </w:rPr>
        <w:t>, não exercendo a atividade profissional de Arquiteta e Urbanista.</w:t>
      </w:r>
      <w:r w:rsidR="006D1B8E" w:rsidRPr="00684646">
        <w:rPr>
          <w:rFonts w:ascii="Times New Roman" w:eastAsia="Calibri" w:hAnsi="Times New Roman"/>
          <w:sz w:val="22"/>
          <w:szCs w:val="22"/>
        </w:rPr>
        <w:t xml:space="preserve"> </w:t>
      </w:r>
      <w:r w:rsidR="008E008B">
        <w:rPr>
          <w:rFonts w:ascii="Times New Roman" w:eastAsia="Calibri" w:hAnsi="Times New Roman"/>
          <w:sz w:val="22"/>
          <w:szCs w:val="22"/>
        </w:rPr>
        <w:t>Alegou estar</w:t>
      </w:r>
      <w:r w:rsidR="008D63B2">
        <w:rPr>
          <w:rFonts w:ascii="Times New Roman" w:eastAsia="Calibri" w:hAnsi="Times New Roman"/>
          <w:sz w:val="22"/>
          <w:szCs w:val="22"/>
        </w:rPr>
        <w:t xml:space="preserve"> sob o</w:t>
      </w:r>
      <w:r w:rsidR="008E008B">
        <w:rPr>
          <w:rFonts w:ascii="Times New Roman" w:eastAsia="Calibri" w:hAnsi="Times New Roman"/>
          <w:sz w:val="22"/>
          <w:szCs w:val="22"/>
        </w:rPr>
        <w:t xml:space="preserve"> ampar</w:t>
      </w:r>
      <w:r w:rsidR="008D63B2">
        <w:rPr>
          <w:rFonts w:ascii="Times New Roman" w:eastAsia="Calibri" w:hAnsi="Times New Roman"/>
          <w:sz w:val="22"/>
          <w:szCs w:val="22"/>
        </w:rPr>
        <w:t>o do</w:t>
      </w:r>
      <w:r w:rsidR="008E008B">
        <w:rPr>
          <w:rFonts w:ascii="Times New Roman" w:eastAsia="Calibri" w:hAnsi="Times New Roman"/>
          <w:sz w:val="22"/>
          <w:szCs w:val="22"/>
        </w:rPr>
        <w:t xml:space="preserve"> Decreto nº 5.773/2006</w:t>
      </w:r>
      <w:r w:rsidR="008D63B2">
        <w:rPr>
          <w:rFonts w:ascii="Times New Roman" w:eastAsia="Calibri" w:hAnsi="Times New Roman"/>
          <w:sz w:val="22"/>
          <w:szCs w:val="22"/>
        </w:rPr>
        <w:t xml:space="preserve"> que </w:t>
      </w:r>
      <w:r w:rsidR="00506C55">
        <w:rPr>
          <w:rFonts w:ascii="Times New Roman" w:eastAsia="Calibri" w:hAnsi="Times New Roman"/>
          <w:sz w:val="22"/>
          <w:szCs w:val="22"/>
        </w:rPr>
        <w:t>i</w:t>
      </w:r>
      <w:r w:rsidR="008D63B2">
        <w:rPr>
          <w:rFonts w:ascii="Times New Roman" w:eastAsia="Calibri" w:hAnsi="Times New Roman"/>
          <w:sz w:val="22"/>
          <w:szCs w:val="22"/>
        </w:rPr>
        <w:t xml:space="preserve">senta os professores da inscrição em órgão de regulamentação profissional. </w:t>
      </w:r>
      <w:r w:rsidR="006D1B8E" w:rsidRPr="00684646">
        <w:rPr>
          <w:rFonts w:ascii="Times New Roman" w:eastAsia="Calibri" w:hAnsi="Times New Roman"/>
          <w:sz w:val="22"/>
          <w:szCs w:val="22"/>
        </w:rPr>
        <w:t xml:space="preserve">Requer </w:t>
      </w:r>
      <w:r w:rsidR="00EE2622">
        <w:rPr>
          <w:rFonts w:ascii="Times New Roman" w:eastAsia="Calibri" w:hAnsi="Times New Roman"/>
          <w:sz w:val="22"/>
          <w:szCs w:val="22"/>
        </w:rPr>
        <w:t>seja declarada a inexistência da dívida</w:t>
      </w:r>
      <w:r w:rsidR="00BC4F70" w:rsidRPr="00684646">
        <w:rPr>
          <w:rFonts w:ascii="Times New Roman" w:eastAsia="Calibri" w:hAnsi="Times New Roman"/>
          <w:sz w:val="22"/>
          <w:szCs w:val="22"/>
        </w:rPr>
        <w:t>.</w:t>
      </w:r>
    </w:p>
    <w:p w:rsidR="00000ACA" w:rsidRPr="00684646"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684646"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684646" w:rsidRDefault="004052D8" w:rsidP="00CD3E14">
            <w:pPr>
              <w:tabs>
                <w:tab w:val="left" w:pos="1418"/>
              </w:tabs>
              <w:spacing w:line="360" w:lineRule="auto"/>
              <w:jc w:val="center"/>
              <w:rPr>
                <w:rFonts w:ascii="Times New Roman" w:hAnsi="Times New Roman"/>
                <w:sz w:val="22"/>
                <w:szCs w:val="22"/>
              </w:rPr>
            </w:pPr>
            <w:r w:rsidRPr="00684646">
              <w:rPr>
                <w:rFonts w:ascii="Times New Roman" w:hAnsi="Times New Roman"/>
                <w:b/>
                <w:sz w:val="22"/>
                <w:szCs w:val="22"/>
              </w:rPr>
              <w:t>VOTO D</w:t>
            </w:r>
            <w:r w:rsidR="00CD3E14" w:rsidRPr="00684646">
              <w:rPr>
                <w:rFonts w:ascii="Times New Roman" w:hAnsi="Times New Roman"/>
                <w:b/>
                <w:sz w:val="22"/>
                <w:szCs w:val="22"/>
              </w:rPr>
              <w:t>O</w:t>
            </w:r>
            <w:r w:rsidR="00EF3EC9" w:rsidRPr="00684646">
              <w:rPr>
                <w:rFonts w:ascii="Times New Roman" w:hAnsi="Times New Roman"/>
                <w:b/>
                <w:sz w:val="22"/>
                <w:szCs w:val="22"/>
              </w:rPr>
              <w:t>(A)</w:t>
            </w:r>
            <w:r w:rsidRPr="00684646">
              <w:rPr>
                <w:rFonts w:ascii="Times New Roman" w:hAnsi="Times New Roman"/>
                <w:b/>
                <w:sz w:val="22"/>
                <w:szCs w:val="22"/>
              </w:rPr>
              <w:t xml:space="preserve"> RELATOR</w:t>
            </w:r>
            <w:r w:rsidR="00CD3E14" w:rsidRPr="00684646">
              <w:rPr>
                <w:rFonts w:ascii="Times New Roman" w:hAnsi="Times New Roman"/>
                <w:b/>
                <w:sz w:val="22"/>
                <w:szCs w:val="22"/>
              </w:rPr>
              <w:t>(A)</w:t>
            </w:r>
          </w:p>
        </w:tc>
      </w:tr>
    </w:tbl>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eastAsia="Calibri" w:hAnsi="Times New Roman"/>
          <w:sz w:val="22"/>
          <w:szCs w:val="22"/>
        </w:rPr>
        <w:t>Salienta</w:t>
      </w:r>
      <w:r w:rsidRPr="00684646">
        <w:rPr>
          <w:rFonts w:ascii="Times New Roman" w:hAnsi="Times New Roman"/>
          <w:sz w:val="22"/>
          <w:szCs w:val="22"/>
        </w:rPr>
        <w:t>-se, inicialmente, que “</w:t>
      </w:r>
      <w:r w:rsidRPr="00684646">
        <w:rPr>
          <w:rFonts w:ascii="Times New Roman" w:hAnsi="Times New Roman"/>
          <w:i/>
          <w:sz w:val="22"/>
          <w:szCs w:val="22"/>
        </w:rPr>
        <w:t xml:space="preserve">o CAU/BR e os </w:t>
      </w:r>
      <w:proofErr w:type="spellStart"/>
      <w:r w:rsidRPr="00684646">
        <w:rPr>
          <w:rFonts w:ascii="Times New Roman" w:hAnsi="Times New Roman"/>
          <w:i/>
          <w:sz w:val="22"/>
          <w:szCs w:val="22"/>
        </w:rPr>
        <w:t>CAUs</w:t>
      </w:r>
      <w:proofErr w:type="spellEnd"/>
      <w:r w:rsidRPr="00684646">
        <w:rPr>
          <w:rFonts w:ascii="Times New Roman" w:hAnsi="Times New Roman"/>
          <w:i/>
          <w:sz w:val="22"/>
          <w:szCs w:val="22"/>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684646">
        <w:rPr>
          <w:rFonts w:ascii="Times New Roman" w:hAnsi="Times New Roman"/>
          <w:sz w:val="22"/>
          <w:szCs w:val="22"/>
        </w:rPr>
        <w:t>”, conforme dispõe o art. 24, § 1º, da Lei nº 12.378/2010.</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Ressalta-se, ainda, que a atividade fiscalizatória tem por objeto “</w:t>
      </w:r>
      <w:r w:rsidRPr="00684646">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684646">
        <w:rPr>
          <w:rFonts w:ascii="Times New Roman" w:hAnsi="Times New Roman"/>
          <w:sz w:val="22"/>
          <w:szCs w:val="22"/>
        </w:rPr>
        <w:t>” e por objetivo “</w:t>
      </w:r>
      <w:r w:rsidRPr="00684646">
        <w:rPr>
          <w:rFonts w:ascii="Times New Roman" w:hAnsi="Times New Roman"/>
          <w:i/>
          <w:sz w:val="22"/>
          <w:szCs w:val="22"/>
        </w:rPr>
        <w:t>coibir o exercício ilegal ou irregular da Arquitetura e Urbanismo, em conformidade com a legislação vigente</w:t>
      </w:r>
      <w:r w:rsidRPr="00684646">
        <w:rPr>
          <w:rFonts w:ascii="Times New Roman" w:hAnsi="Times New Roman"/>
          <w:sz w:val="22"/>
          <w:szCs w:val="22"/>
        </w:rPr>
        <w:t>”, competindo-lhe “</w:t>
      </w:r>
      <w:r w:rsidRPr="00684646">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684646">
        <w:rPr>
          <w:rFonts w:ascii="Times New Roman" w:hAnsi="Times New Roman"/>
          <w:sz w:val="22"/>
          <w:szCs w:val="22"/>
        </w:rPr>
        <w:t xml:space="preserve">”, </w:t>
      </w:r>
      <w:r w:rsidRPr="00684646">
        <w:rPr>
          <w:rFonts w:ascii="Times New Roman" w:eastAsia="Calibri" w:hAnsi="Times New Roman"/>
          <w:sz w:val="22"/>
          <w:szCs w:val="22"/>
        </w:rPr>
        <w:t>conforme</w:t>
      </w:r>
      <w:r w:rsidRPr="00684646">
        <w:rPr>
          <w:rFonts w:ascii="Times New Roman" w:hAnsi="Times New Roman"/>
          <w:sz w:val="22"/>
          <w:szCs w:val="22"/>
        </w:rPr>
        <w:t xml:space="preserve"> dispõem os artigos 4º, 5º e 6º da Resolução nº 22 do CAU/BR, respectivamente.</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Diante disso, sob pena de causar prejuízo à coletividade de profissionais Arquitetos e Urbanistas e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684646">
        <w:rPr>
          <w:rFonts w:ascii="Times New Roman" w:hAnsi="Times New Roman"/>
          <w:sz w:val="22"/>
          <w:szCs w:val="22"/>
        </w:rPr>
        <w:t>CAUs</w:t>
      </w:r>
      <w:proofErr w:type="spellEnd"/>
      <w:r w:rsidRPr="00684646">
        <w:rPr>
          <w:rFonts w:ascii="Times New Roman" w:hAnsi="Times New Roman"/>
          <w:sz w:val="22"/>
          <w:szCs w:val="22"/>
        </w:rPr>
        <w:t>, conforme o disposto no art. 37, da Lei nº 12.378/2010.</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Nesse sentido, é consabido que as anuidades cobradas pelos Conselhos de Fiscalização Profissional possuem natureza tributária, as quais têm como fato gerador a inscrição no Conselho, ainda que por tempo limitado, nos termos do artigo 5º, da Lei nº 12.514/2011, ou seja, são devidas e devem ser cobradas sempre que se configurar a inscrição, independente do </w:t>
      </w:r>
      <w:r w:rsidRPr="00684646">
        <w:rPr>
          <w:rFonts w:ascii="Times New Roman" w:hAnsi="Times New Roman"/>
          <w:sz w:val="22"/>
          <w:szCs w:val="22"/>
        </w:rPr>
        <w:lastRenderedPageBreak/>
        <w:t>exercício. A jurisprudência é clara nesse sentido, conforme demonstram os julgados abaixo transcritos:</w:t>
      </w:r>
    </w:p>
    <w:p w:rsidR="00684646" w:rsidRP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AGRAVO DE INSTRUMENTO. CONTRIUIÇÕES SOCIAIS. CONSELHOS PROFISSIONAIS. ZOOTECNIA. APLICAÇÃO DAS DISPOSIÇÕES DA LEI QUE REGULA A PROFISSÃO DE VETERINÁRIO. FATO GERADOR. INSCRIÇÃO. CONDIÇÃO DE PROCEDIBILIDADE. REQUISITO DO CÚMULO DE QUATRO ANUIDADES. DESPROVIMENTO.</w:t>
      </w:r>
      <w:r w:rsidRPr="00684646">
        <w:rPr>
          <w:rFonts w:ascii="Times New Roman" w:hAnsi="Times New Roman"/>
          <w:i/>
          <w:sz w:val="22"/>
          <w:szCs w:val="22"/>
        </w:rPr>
        <w:t xml:space="preserve"> 1. Aplica-se ao </w:t>
      </w:r>
      <w:proofErr w:type="spellStart"/>
      <w:r w:rsidRPr="00684646">
        <w:rPr>
          <w:rFonts w:ascii="Times New Roman" w:hAnsi="Times New Roman"/>
          <w:i/>
          <w:sz w:val="22"/>
          <w:szCs w:val="22"/>
        </w:rPr>
        <w:t>zootecnista</w:t>
      </w:r>
      <w:proofErr w:type="spellEnd"/>
      <w:r w:rsidRPr="00684646">
        <w:rPr>
          <w:rFonts w:ascii="Times New Roman" w:hAnsi="Times New Roman"/>
          <w:i/>
          <w:sz w:val="22"/>
          <w:szCs w:val="22"/>
        </w:rPr>
        <w:t xml:space="preserve"> o art. 4 da Lei 5.550/1968, cujo preceito é no sentido de estender-lhe as disposições da Lei 5.517/68, a qual rege a profissão do veterinário, quanto à fiscalização do exercício da profissão. </w:t>
      </w:r>
      <w:r w:rsidRPr="00684646">
        <w:rPr>
          <w:rFonts w:ascii="Times New Roman" w:hAnsi="Times New Roman"/>
          <w:b/>
          <w:i/>
          <w:sz w:val="22"/>
          <w:szCs w:val="22"/>
        </w:rPr>
        <w:t>2. Com efeito, existindo regular inscrição junto ao Conselho, o afastamento do exercício da atividade não possui o condão, por si só, de legitimar o não-recolhimento das anuidades, sendo imprescindível o pedido de cancelamento à instituição.</w:t>
      </w:r>
      <w:r w:rsidRPr="00684646">
        <w:rPr>
          <w:rFonts w:ascii="Times New Roman" w:hAnsi="Times New Roman"/>
          <w:i/>
          <w:sz w:val="22"/>
          <w:szCs w:val="22"/>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t xml:space="preserve"> (TRF4, AG 5050823-16.2015.404.0000, Segunda Turma, Relator p/ Acórdão João Batista </w:t>
      </w:r>
      <w:proofErr w:type="spellStart"/>
      <w:r w:rsidRPr="00684646">
        <w:rPr>
          <w:rFonts w:ascii="Times New Roman" w:hAnsi="Times New Roman"/>
          <w:sz w:val="22"/>
          <w:szCs w:val="22"/>
        </w:rPr>
        <w:t>Lazzari</w:t>
      </w:r>
      <w:proofErr w:type="spellEnd"/>
      <w:r w:rsidRPr="00684646">
        <w:rPr>
          <w:rFonts w:ascii="Times New Roman" w:hAnsi="Times New Roman"/>
          <w:sz w:val="22"/>
          <w:szCs w:val="22"/>
        </w:rPr>
        <w:t xml:space="preserve">, juntado aos autos em 24/02/2016)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spacing w:line="360" w:lineRule="auto"/>
        <w:ind w:left="720"/>
        <w:jc w:val="both"/>
        <w:rPr>
          <w:rFonts w:ascii="Times New Roman" w:hAnsi="Times New Roman"/>
          <w:sz w:val="22"/>
          <w:szCs w:val="22"/>
        </w:rPr>
      </w:pP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b/>
          <w:i/>
          <w:sz w:val="22"/>
          <w:szCs w:val="22"/>
        </w:rPr>
        <w:t>TRIBUTÁRIO. CONSELHOS REGIONAIS DE FISCALIZAÇÃO PROFISSIONAL. ANUIDADES. PESSOA FÍSICA. FATO GERADOR. INSCRIÇÃO. AFASTAMENTO DAS ATIVIDADES. HONORÁRIOS. MANUTENÇÃO</w:t>
      </w:r>
      <w:r w:rsidRPr="00684646">
        <w:rPr>
          <w:rFonts w:ascii="Times New Roman" w:hAnsi="Times New Roman"/>
          <w:i/>
          <w:sz w:val="22"/>
          <w:szCs w:val="22"/>
        </w:rPr>
        <w:t xml:space="preserve">. 1. As anuidades devidas aos conselhos profissionais se constituem em tributos, forte no art. 149 da Constituição Federal. 2. </w:t>
      </w:r>
      <w:r w:rsidRPr="00684646">
        <w:rPr>
          <w:rFonts w:ascii="Times New Roman" w:hAnsi="Times New Roman"/>
          <w:b/>
          <w:i/>
          <w:sz w:val="22"/>
          <w:szCs w:val="22"/>
        </w:rPr>
        <w:t>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684646">
        <w:rPr>
          <w:rFonts w:ascii="Times New Roman" w:hAnsi="Times New Roman"/>
          <w:i/>
          <w:sz w:val="22"/>
          <w:szCs w:val="22"/>
        </w:rPr>
        <w:t>.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fiscalização profissional, haja vista a peculiaridade dessa situação. 4. Honorários advocatícios mantidos, conforme fixados na sentença.</w:t>
      </w:r>
      <w:r w:rsidRPr="00684646">
        <w:rPr>
          <w:rFonts w:ascii="Times New Roman" w:hAnsi="Times New Roman"/>
          <w:sz w:val="22"/>
          <w:szCs w:val="22"/>
        </w:rPr>
        <w:t xml:space="preserve"> </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t xml:space="preserve">(TRF4, AC 5003746-82.2014.404.7101, Segunda Turma, Relator p/ Acórdão Otávio Roberto Pamplona, juntado aos autos em 07/12/2015)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ind w:left="720"/>
        <w:jc w:val="both"/>
        <w:rPr>
          <w:rFonts w:ascii="Times New Roman" w:hAnsi="Times New Roman"/>
          <w:sz w:val="22"/>
          <w:szCs w:val="22"/>
        </w:rPr>
      </w:pPr>
    </w:p>
    <w:p w:rsidR="00FD578C"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No caso em análise, </w:t>
      </w:r>
      <w:r w:rsidR="003F0BCE">
        <w:rPr>
          <w:rFonts w:ascii="Times New Roman" w:hAnsi="Times New Roman"/>
          <w:sz w:val="22"/>
          <w:szCs w:val="22"/>
        </w:rPr>
        <w:t>conforme cons</w:t>
      </w:r>
      <w:r w:rsidR="00671B54">
        <w:rPr>
          <w:rFonts w:ascii="Times New Roman" w:hAnsi="Times New Roman"/>
          <w:sz w:val="22"/>
          <w:szCs w:val="22"/>
        </w:rPr>
        <w:t>ulta realizada no sistema de informação e comunicação do CAU – SICCAU, a</w:t>
      </w:r>
      <w:r w:rsidRPr="00684646">
        <w:rPr>
          <w:rFonts w:ascii="Times New Roman" w:hAnsi="Times New Roman"/>
          <w:sz w:val="22"/>
          <w:szCs w:val="22"/>
        </w:rPr>
        <w:t xml:space="preserve"> impugnante </w:t>
      </w:r>
      <w:r w:rsidR="00413CC6">
        <w:rPr>
          <w:rFonts w:ascii="Times New Roman" w:hAnsi="Times New Roman"/>
          <w:sz w:val="22"/>
          <w:szCs w:val="22"/>
        </w:rPr>
        <w:t xml:space="preserve">realizou o seu registro </w:t>
      </w:r>
      <w:r w:rsidR="00CB3723">
        <w:rPr>
          <w:rFonts w:ascii="Times New Roman" w:hAnsi="Times New Roman"/>
          <w:sz w:val="22"/>
          <w:szCs w:val="22"/>
        </w:rPr>
        <w:t xml:space="preserve">voluntário </w:t>
      </w:r>
      <w:r w:rsidR="00413CC6">
        <w:rPr>
          <w:rFonts w:ascii="Times New Roman" w:hAnsi="Times New Roman"/>
          <w:sz w:val="22"/>
          <w:szCs w:val="22"/>
        </w:rPr>
        <w:t xml:space="preserve">no </w:t>
      </w:r>
      <w:r w:rsidR="00CB3723">
        <w:rPr>
          <w:rFonts w:ascii="Times New Roman" w:hAnsi="Times New Roman"/>
          <w:sz w:val="22"/>
          <w:szCs w:val="22"/>
        </w:rPr>
        <w:t>CREA/RS</w:t>
      </w:r>
      <w:r w:rsidR="00413CC6">
        <w:rPr>
          <w:rFonts w:ascii="Times New Roman" w:hAnsi="Times New Roman"/>
          <w:sz w:val="22"/>
          <w:szCs w:val="22"/>
        </w:rPr>
        <w:t xml:space="preserve"> em </w:t>
      </w:r>
      <w:r w:rsidR="00CB3723">
        <w:rPr>
          <w:rFonts w:ascii="Times New Roman" w:hAnsi="Times New Roman"/>
          <w:sz w:val="22"/>
          <w:szCs w:val="22"/>
        </w:rPr>
        <w:t>02</w:t>
      </w:r>
      <w:r w:rsidR="00413CC6">
        <w:rPr>
          <w:rFonts w:ascii="Times New Roman" w:hAnsi="Times New Roman"/>
          <w:sz w:val="22"/>
          <w:szCs w:val="22"/>
        </w:rPr>
        <w:t>/</w:t>
      </w:r>
      <w:r w:rsidR="00CB3723">
        <w:rPr>
          <w:rFonts w:ascii="Times New Roman" w:hAnsi="Times New Roman"/>
          <w:sz w:val="22"/>
          <w:szCs w:val="22"/>
        </w:rPr>
        <w:t>08</w:t>
      </w:r>
      <w:r w:rsidR="00413CC6">
        <w:rPr>
          <w:rFonts w:ascii="Times New Roman" w:hAnsi="Times New Roman"/>
          <w:sz w:val="22"/>
          <w:szCs w:val="22"/>
        </w:rPr>
        <w:t>/20</w:t>
      </w:r>
      <w:r w:rsidR="00CB3723">
        <w:rPr>
          <w:rFonts w:ascii="Times New Roman" w:hAnsi="Times New Roman"/>
          <w:sz w:val="22"/>
          <w:szCs w:val="22"/>
        </w:rPr>
        <w:t>08</w:t>
      </w:r>
      <w:r w:rsidR="00413CC6">
        <w:rPr>
          <w:rFonts w:ascii="Times New Roman" w:hAnsi="Times New Roman"/>
          <w:sz w:val="22"/>
          <w:szCs w:val="22"/>
        </w:rPr>
        <w:t xml:space="preserve">, tendo </w:t>
      </w:r>
      <w:r w:rsidR="00E833FB">
        <w:rPr>
          <w:rFonts w:ascii="Times New Roman" w:hAnsi="Times New Roman"/>
          <w:sz w:val="22"/>
          <w:szCs w:val="22"/>
        </w:rPr>
        <w:t>efetuado</w:t>
      </w:r>
      <w:r w:rsidR="00413CC6">
        <w:rPr>
          <w:rFonts w:ascii="Times New Roman" w:hAnsi="Times New Roman"/>
          <w:sz w:val="22"/>
          <w:szCs w:val="22"/>
        </w:rPr>
        <w:t xml:space="preserve"> o pagamento da</w:t>
      </w:r>
      <w:r w:rsidR="00CB3723">
        <w:rPr>
          <w:rFonts w:ascii="Times New Roman" w:hAnsi="Times New Roman"/>
          <w:sz w:val="22"/>
          <w:szCs w:val="22"/>
        </w:rPr>
        <w:t>s</w:t>
      </w:r>
      <w:r w:rsidR="00413CC6">
        <w:rPr>
          <w:rFonts w:ascii="Times New Roman" w:hAnsi="Times New Roman"/>
          <w:sz w:val="22"/>
          <w:szCs w:val="22"/>
        </w:rPr>
        <w:t xml:space="preserve"> anuidade</w:t>
      </w:r>
      <w:r w:rsidR="00CB3723">
        <w:rPr>
          <w:rFonts w:ascii="Times New Roman" w:hAnsi="Times New Roman"/>
          <w:sz w:val="22"/>
          <w:szCs w:val="22"/>
        </w:rPr>
        <w:t>s devidas ao CREA</w:t>
      </w:r>
      <w:r w:rsidR="00413CC6">
        <w:rPr>
          <w:rFonts w:ascii="Times New Roman" w:hAnsi="Times New Roman"/>
          <w:sz w:val="22"/>
          <w:szCs w:val="22"/>
        </w:rPr>
        <w:t xml:space="preserve"> de</w:t>
      </w:r>
      <w:r w:rsidR="00FD578C">
        <w:rPr>
          <w:rFonts w:ascii="Times New Roman" w:hAnsi="Times New Roman"/>
          <w:sz w:val="22"/>
          <w:szCs w:val="22"/>
        </w:rPr>
        <w:t xml:space="preserve"> 2008, 2009, 2010 e 2011. </w:t>
      </w:r>
    </w:p>
    <w:p w:rsidR="00D053D2" w:rsidRDefault="00FD578C"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Com a criação do CAU em 2010, por força da Lei 12.378/2010</w:t>
      </w:r>
      <w:r w:rsidR="00133392">
        <w:rPr>
          <w:rFonts w:ascii="Times New Roman" w:hAnsi="Times New Roman"/>
          <w:sz w:val="22"/>
          <w:szCs w:val="22"/>
        </w:rPr>
        <w:t>,</w:t>
      </w:r>
      <w:r w:rsidR="00A05570">
        <w:rPr>
          <w:rFonts w:ascii="Times New Roman" w:hAnsi="Times New Roman"/>
          <w:sz w:val="22"/>
          <w:szCs w:val="22"/>
        </w:rPr>
        <w:t xml:space="preserve"> o registro da profissional </w:t>
      </w:r>
      <w:r w:rsidR="00485F6A">
        <w:rPr>
          <w:rFonts w:ascii="Times New Roman" w:hAnsi="Times New Roman"/>
          <w:sz w:val="22"/>
          <w:szCs w:val="22"/>
        </w:rPr>
        <w:t xml:space="preserve">passou a integrar </w:t>
      </w:r>
      <w:r w:rsidR="00A05570">
        <w:rPr>
          <w:rFonts w:ascii="Times New Roman" w:hAnsi="Times New Roman"/>
          <w:sz w:val="22"/>
          <w:szCs w:val="22"/>
        </w:rPr>
        <w:t>o CAU/RS</w:t>
      </w:r>
      <w:r w:rsidR="00485F6A">
        <w:rPr>
          <w:rFonts w:ascii="Times New Roman" w:hAnsi="Times New Roman"/>
          <w:sz w:val="22"/>
          <w:szCs w:val="22"/>
        </w:rPr>
        <w:t xml:space="preserve"> e esta pagou as anuidades de 2012 e 2013</w:t>
      </w:r>
      <w:r w:rsidR="008B3FA3">
        <w:rPr>
          <w:rFonts w:ascii="Times New Roman" w:hAnsi="Times New Roman"/>
          <w:sz w:val="22"/>
          <w:szCs w:val="22"/>
        </w:rPr>
        <w:t>. Ressalta-se, ainda</w:t>
      </w:r>
      <w:r w:rsidR="00456608">
        <w:rPr>
          <w:rFonts w:ascii="Times New Roman" w:hAnsi="Times New Roman"/>
          <w:sz w:val="22"/>
          <w:szCs w:val="22"/>
        </w:rPr>
        <w:t>,</w:t>
      </w:r>
      <w:r w:rsidR="008B3FA3">
        <w:rPr>
          <w:rFonts w:ascii="Times New Roman" w:hAnsi="Times New Roman"/>
          <w:sz w:val="22"/>
          <w:szCs w:val="22"/>
        </w:rPr>
        <w:t xml:space="preserve"> que a profissional recebeu sua carteira profissional em </w:t>
      </w:r>
      <w:r w:rsidR="0038654D">
        <w:rPr>
          <w:rFonts w:ascii="Times New Roman" w:hAnsi="Times New Roman"/>
          <w:sz w:val="22"/>
          <w:szCs w:val="22"/>
        </w:rPr>
        <w:t>27/12/2012 e emitiu RRT de projeto nº 823516 no ano de 2012 (doc. em anexo)</w:t>
      </w:r>
      <w:r w:rsidR="00153789">
        <w:rPr>
          <w:rFonts w:ascii="Times New Roman" w:hAnsi="Times New Roman"/>
          <w:sz w:val="22"/>
          <w:szCs w:val="22"/>
        </w:rPr>
        <w:t>,</w:t>
      </w:r>
      <w:r w:rsidR="00197A85">
        <w:rPr>
          <w:rFonts w:ascii="Times New Roman" w:hAnsi="Times New Roman"/>
          <w:sz w:val="22"/>
          <w:szCs w:val="22"/>
        </w:rPr>
        <w:t xml:space="preserve"> </w:t>
      </w:r>
      <w:r w:rsidR="00EF6519">
        <w:rPr>
          <w:rFonts w:ascii="Times New Roman" w:hAnsi="Times New Roman"/>
          <w:sz w:val="22"/>
          <w:szCs w:val="22"/>
        </w:rPr>
        <w:t>r</w:t>
      </w:r>
      <w:r w:rsidR="00197A85">
        <w:rPr>
          <w:rFonts w:ascii="Times New Roman" w:hAnsi="Times New Roman"/>
          <w:sz w:val="22"/>
          <w:szCs w:val="22"/>
        </w:rPr>
        <w:t>estando</w:t>
      </w:r>
      <w:r w:rsidR="00EF6519">
        <w:rPr>
          <w:rFonts w:ascii="Times New Roman" w:hAnsi="Times New Roman"/>
          <w:sz w:val="22"/>
          <w:szCs w:val="22"/>
        </w:rPr>
        <w:t xml:space="preserve"> assim </w:t>
      </w:r>
      <w:r w:rsidR="00197A85">
        <w:rPr>
          <w:rFonts w:ascii="Times New Roman" w:hAnsi="Times New Roman"/>
          <w:sz w:val="22"/>
          <w:szCs w:val="22"/>
        </w:rPr>
        <w:t xml:space="preserve">presente </w:t>
      </w:r>
      <w:r w:rsidR="004C1F38">
        <w:rPr>
          <w:rFonts w:ascii="Times New Roman" w:hAnsi="Times New Roman"/>
          <w:sz w:val="22"/>
          <w:szCs w:val="22"/>
        </w:rPr>
        <w:t xml:space="preserve">tanto </w:t>
      </w:r>
      <w:r w:rsidR="00197A85">
        <w:rPr>
          <w:rFonts w:ascii="Times New Roman" w:hAnsi="Times New Roman"/>
          <w:sz w:val="22"/>
          <w:szCs w:val="22"/>
        </w:rPr>
        <w:t>o caráter voluntário de sua inscrição</w:t>
      </w:r>
      <w:r w:rsidR="001F3A48">
        <w:rPr>
          <w:rFonts w:ascii="Times New Roman" w:hAnsi="Times New Roman"/>
          <w:sz w:val="22"/>
          <w:szCs w:val="22"/>
        </w:rPr>
        <w:t xml:space="preserve"> desde o ano de 2008 </w:t>
      </w:r>
      <w:r w:rsidR="00135520">
        <w:rPr>
          <w:rFonts w:ascii="Times New Roman" w:hAnsi="Times New Roman"/>
          <w:sz w:val="22"/>
          <w:szCs w:val="22"/>
        </w:rPr>
        <w:t>junto ao CREA/RS</w:t>
      </w:r>
      <w:r w:rsidR="00197A85">
        <w:rPr>
          <w:rFonts w:ascii="Times New Roman" w:hAnsi="Times New Roman"/>
          <w:sz w:val="22"/>
          <w:szCs w:val="22"/>
        </w:rPr>
        <w:t xml:space="preserve">, </w:t>
      </w:r>
      <w:r w:rsidR="00D053D2">
        <w:rPr>
          <w:rFonts w:ascii="Times New Roman" w:hAnsi="Times New Roman"/>
          <w:sz w:val="22"/>
          <w:szCs w:val="22"/>
        </w:rPr>
        <w:t>quanto</w:t>
      </w:r>
      <w:r w:rsidR="00EF6519">
        <w:rPr>
          <w:rFonts w:ascii="Times New Roman" w:hAnsi="Times New Roman"/>
          <w:sz w:val="22"/>
          <w:szCs w:val="22"/>
        </w:rPr>
        <w:t xml:space="preserve"> </w:t>
      </w:r>
      <w:r w:rsidR="00555AEB">
        <w:rPr>
          <w:rFonts w:ascii="Times New Roman" w:hAnsi="Times New Roman"/>
          <w:sz w:val="22"/>
          <w:szCs w:val="22"/>
        </w:rPr>
        <w:t>o gozo de suas prerrogativas</w:t>
      </w:r>
      <w:r w:rsidR="00EF6519">
        <w:rPr>
          <w:rFonts w:ascii="Times New Roman" w:hAnsi="Times New Roman"/>
          <w:sz w:val="22"/>
          <w:szCs w:val="22"/>
        </w:rPr>
        <w:t xml:space="preserve"> de profissional devidamente registrada</w:t>
      </w:r>
      <w:r w:rsidR="003D58E4">
        <w:rPr>
          <w:rFonts w:ascii="Times New Roman" w:hAnsi="Times New Roman"/>
          <w:sz w:val="22"/>
          <w:szCs w:val="22"/>
        </w:rPr>
        <w:t xml:space="preserve"> no Conselho de Arquitetura e Urbanismo</w:t>
      </w:r>
      <w:r w:rsidR="00D14C41">
        <w:rPr>
          <w:rFonts w:ascii="Times New Roman" w:hAnsi="Times New Roman"/>
          <w:sz w:val="22"/>
          <w:szCs w:val="22"/>
        </w:rPr>
        <w:t xml:space="preserve">, sem </w:t>
      </w:r>
      <w:r w:rsidR="00893C2F">
        <w:rPr>
          <w:rFonts w:ascii="Times New Roman" w:hAnsi="Times New Roman"/>
          <w:sz w:val="22"/>
          <w:szCs w:val="22"/>
        </w:rPr>
        <w:t xml:space="preserve">haver qualquer </w:t>
      </w:r>
      <w:r w:rsidR="005C062C">
        <w:rPr>
          <w:rFonts w:ascii="Times New Roman" w:hAnsi="Times New Roman"/>
          <w:sz w:val="22"/>
          <w:szCs w:val="22"/>
        </w:rPr>
        <w:lastRenderedPageBreak/>
        <w:t xml:space="preserve">informação quanto à ocorrência de eventual </w:t>
      </w:r>
      <w:r w:rsidR="00D14C41">
        <w:rPr>
          <w:rFonts w:ascii="Times New Roman" w:hAnsi="Times New Roman"/>
          <w:sz w:val="22"/>
          <w:szCs w:val="22"/>
        </w:rPr>
        <w:t xml:space="preserve">pedido de interrupção de seu registro </w:t>
      </w:r>
      <w:r w:rsidR="00893C2F">
        <w:rPr>
          <w:rFonts w:ascii="Times New Roman" w:hAnsi="Times New Roman"/>
          <w:sz w:val="22"/>
          <w:szCs w:val="22"/>
        </w:rPr>
        <w:t>profissional neste Conselho</w:t>
      </w:r>
      <w:r w:rsidR="00DC5621">
        <w:rPr>
          <w:rFonts w:ascii="Times New Roman" w:hAnsi="Times New Roman"/>
          <w:sz w:val="22"/>
          <w:szCs w:val="22"/>
        </w:rPr>
        <w:t xml:space="preserve"> antes de 24/</w:t>
      </w:r>
      <w:r w:rsidR="00036DE6">
        <w:rPr>
          <w:rFonts w:ascii="Times New Roman" w:hAnsi="Times New Roman"/>
          <w:sz w:val="22"/>
          <w:szCs w:val="22"/>
        </w:rPr>
        <w:t>10/2018, quando solicitou a interrupção do registro junto ao CAU/RS</w:t>
      </w:r>
      <w:r w:rsidR="00893C2F">
        <w:rPr>
          <w:rFonts w:ascii="Times New Roman" w:hAnsi="Times New Roman"/>
          <w:sz w:val="22"/>
          <w:szCs w:val="22"/>
        </w:rPr>
        <w:t>.</w:t>
      </w:r>
    </w:p>
    <w:p w:rsidR="00531AF5" w:rsidRPr="00A34EC5" w:rsidRDefault="00D053D2" w:rsidP="00530C1E">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597FF7">
        <w:rPr>
          <w:rFonts w:ascii="Times New Roman" w:hAnsi="Times New Roman"/>
          <w:sz w:val="22"/>
          <w:szCs w:val="22"/>
        </w:rPr>
        <w:t>Nesse sentido, importa referir</w:t>
      </w:r>
      <w:r w:rsidR="00540186">
        <w:rPr>
          <w:rFonts w:ascii="Times New Roman" w:hAnsi="Times New Roman"/>
          <w:sz w:val="22"/>
          <w:szCs w:val="22"/>
        </w:rPr>
        <w:t>,</w:t>
      </w:r>
      <w:r w:rsidRPr="00597FF7">
        <w:rPr>
          <w:rFonts w:ascii="Times New Roman" w:hAnsi="Times New Roman"/>
          <w:sz w:val="22"/>
          <w:szCs w:val="22"/>
        </w:rPr>
        <w:t xml:space="preserve"> </w:t>
      </w:r>
      <w:r w:rsidR="00530C1E" w:rsidRPr="00597FF7">
        <w:rPr>
          <w:rFonts w:ascii="Times New Roman" w:hAnsi="Times New Roman"/>
          <w:sz w:val="22"/>
          <w:szCs w:val="22"/>
        </w:rPr>
        <w:t>o</w:t>
      </w:r>
      <w:r w:rsidR="00733B06" w:rsidRPr="00597FF7">
        <w:rPr>
          <w:rFonts w:ascii="Times New Roman" w:hAnsi="Times New Roman"/>
          <w:sz w:val="22"/>
          <w:szCs w:val="22"/>
        </w:rPr>
        <w:t xml:space="preserve"> Art. </w:t>
      </w:r>
      <w:r w:rsidR="00905DF3">
        <w:rPr>
          <w:rFonts w:ascii="Times New Roman" w:hAnsi="Times New Roman"/>
          <w:sz w:val="22"/>
          <w:szCs w:val="22"/>
        </w:rPr>
        <w:t>69</w:t>
      </w:r>
      <w:r w:rsidR="00733B06" w:rsidRPr="00597FF7">
        <w:rPr>
          <w:rFonts w:ascii="Times New Roman" w:hAnsi="Times New Roman"/>
          <w:sz w:val="22"/>
          <w:szCs w:val="22"/>
        </w:rPr>
        <w:t xml:space="preserve"> do</w:t>
      </w:r>
      <w:r w:rsidR="00530C1E" w:rsidRPr="00597FF7">
        <w:rPr>
          <w:rFonts w:ascii="Times New Roman" w:hAnsi="Times New Roman"/>
          <w:sz w:val="22"/>
          <w:szCs w:val="22"/>
        </w:rPr>
        <w:t xml:space="preserve"> decreto citado pela impugnante, </w:t>
      </w:r>
      <w:r w:rsidR="009A076A" w:rsidRPr="00597FF7">
        <w:rPr>
          <w:rFonts w:ascii="Times New Roman" w:hAnsi="Times New Roman"/>
          <w:sz w:val="22"/>
          <w:szCs w:val="22"/>
        </w:rPr>
        <w:t>D</w:t>
      </w:r>
      <w:r w:rsidR="00A34EC5">
        <w:rPr>
          <w:rFonts w:ascii="Times New Roman" w:hAnsi="Times New Roman"/>
          <w:sz w:val="22"/>
          <w:szCs w:val="22"/>
        </w:rPr>
        <w:t>ecreto n</w:t>
      </w:r>
      <w:r w:rsidR="009A076A" w:rsidRPr="00597FF7">
        <w:rPr>
          <w:rFonts w:ascii="Times New Roman" w:hAnsi="Times New Roman"/>
          <w:sz w:val="22"/>
          <w:szCs w:val="22"/>
        </w:rPr>
        <w:t xml:space="preserve">º </w:t>
      </w:r>
      <w:r w:rsidR="00905DF3">
        <w:rPr>
          <w:rFonts w:ascii="Times New Roman" w:hAnsi="Times New Roman"/>
          <w:sz w:val="22"/>
          <w:szCs w:val="22"/>
        </w:rPr>
        <w:t>5.773/06</w:t>
      </w:r>
      <w:r w:rsidR="009A076A" w:rsidRPr="00A34EC5">
        <w:rPr>
          <w:sz w:val="22"/>
          <w:szCs w:val="22"/>
        </w:rPr>
        <w:t>,</w:t>
      </w:r>
      <w:r w:rsidR="00597FF7" w:rsidRPr="00A34EC5">
        <w:rPr>
          <w:sz w:val="22"/>
          <w:szCs w:val="22"/>
        </w:rPr>
        <w:t xml:space="preserve"> estabelece que </w:t>
      </w:r>
      <w:r w:rsidR="00597FF7" w:rsidRPr="00A34EC5">
        <w:rPr>
          <w:i/>
          <w:sz w:val="22"/>
          <w:szCs w:val="22"/>
        </w:rPr>
        <w:t>“</w:t>
      </w:r>
      <w:r w:rsidR="00530C1E" w:rsidRPr="00A34EC5">
        <w:rPr>
          <w:i/>
          <w:sz w:val="22"/>
          <w:szCs w:val="22"/>
        </w:rPr>
        <w:t>O exercício de atividade docente na educação superior não se sujeita à inscrição do professor em órgão de regulamentação profissional.</w:t>
      </w:r>
      <w:r w:rsidR="00531AF5" w:rsidRPr="00A34EC5">
        <w:rPr>
          <w:i/>
          <w:sz w:val="22"/>
          <w:szCs w:val="22"/>
        </w:rPr>
        <w:t>”</w:t>
      </w:r>
      <w:r w:rsidR="00531AF5" w:rsidRPr="00A34EC5">
        <w:rPr>
          <w:sz w:val="22"/>
          <w:szCs w:val="22"/>
        </w:rPr>
        <w:t xml:space="preserve">, o que não se confunde com a situação ora em análise na qual a impugnante realizou seu registro </w:t>
      </w:r>
      <w:r w:rsidR="003978A0">
        <w:rPr>
          <w:sz w:val="22"/>
          <w:szCs w:val="22"/>
        </w:rPr>
        <w:t>pro</w:t>
      </w:r>
      <w:r w:rsidR="006D0446">
        <w:rPr>
          <w:sz w:val="22"/>
          <w:szCs w:val="22"/>
        </w:rPr>
        <w:t>fi</w:t>
      </w:r>
      <w:r w:rsidR="00531AF5" w:rsidRPr="00A34EC5">
        <w:rPr>
          <w:sz w:val="22"/>
          <w:szCs w:val="22"/>
        </w:rPr>
        <w:t>ssional por ato voluntário</w:t>
      </w:r>
      <w:r w:rsidR="00FD09B5" w:rsidRPr="00A34EC5">
        <w:rPr>
          <w:sz w:val="22"/>
          <w:szCs w:val="22"/>
        </w:rPr>
        <w:t xml:space="preserve">, sendo nesse sentido responsável pelo adimplemento de todos os </w:t>
      </w:r>
      <w:r w:rsidR="006A2024">
        <w:rPr>
          <w:sz w:val="22"/>
          <w:szCs w:val="22"/>
        </w:rPr>
        <w:t>consectários legais daí advindos</w:t>
      </w:r>
      <w:r w:rsidR="00531AF5" w:rsidRPr="00A34EC5">
        <w:rPr>
          <w:sz w:val="22"/>
          <w:szCs w:val="22"/>
        </w:rPr>
        <w:t>.</w:t>
      </w:r>
    </w:p>
    <w:p w:rsidR="00684646" w:rsidRPr="00684646" w:rsidRDefault="00F76C52"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Destarte</w:t>
      </w:r>
      <w:r w:rsidR="00684646" w:rsidRPr="00684646">
        <w:rPr>
          <w:rFonts w:ascii="Times New Roman" w:hAnsi="Times New Roman"/>
          <w:sz w:val="22"/>
          <w:szCs w:val="22"/>
        </w:rPr>
        <w:t>, com a vigência da Lei nº 12.514/2011</w:t>
      </w:r>
      <w:r w:rsidR="00F336C7">
        <w:rPr>
          <w:rFonts w:ascii="Times New Roman" w:hAnsi="Times New Roman"/>
          <w:sz w:val="22"/>
          <w:szCs w:val="22"/>
        </w:rPr>
        <w:t>,</w:t>
      </w:r>
      <w:r w:rsidR="00684646" w:rsidRPr="00684646">
        <w:rPr>
          <w:rFonts w:ascii="Times New Roman" w:hAnsi="Times New Roman"/>
          <w:sz w:val="22"/>
          <w:szCs w:val="22"/>
        </w:rPr>
        <w:t xml:space="preserve"> tratando-se de pessoa física, </w:t>
      </w:r>
      <w:r w:rsidR="00A40328">
        <w:rPr>
          <w:rFonts w:ascii="Times New Roman" w:hAnsi="Times New Roman"/>
          <w:sz w:val="22"/>
          <w:szCs w:val="22"/>
        </w:rPr>
        <w:t xml:space="preserve">o fato gerador das anuidades </w:t>
      </w:r>
      <w:r w:rsidR="00684646" w:rsidRPr="00684646">
        <w:rPr>
          <w:rFonts w:ascii="Times New Roman" w:hAnsi="Times New Roman"/>
          <w:sz w:val="22"/>
          <w:szCs w:val="22"/>
        </w:rPr>
        <w:t>é a inscrição no Conselho, independente do exercício, como se pode observar no artigo 5º da Lei:</w:t>
      </w:r>
    </w:p>
    <w:p w:rsidR="00684646" w:rsidRPr="00684646" w:rsidRDefault="00684646" w:rsidP="00684646">
      <w:pPr>
        <w:pStyle w:val="PargrafodaLista"/>
        <w:tabs>
          <w:tab w:val="left" w:pos="1418"/>
        </w:tabs>
        <w:spacing w:before="120" w:after="120"/>
        <w:ind w:left="0"/>
        <w:jc w:val="both"/>
        <w:rPr>
          <w:rFonts w:ascii="Times New Roman" w:hAnsi="Times New Roman"/>
          <w:sz w:val="22"/>
          <w:szCs w:val="22"/>
        </w:rPr>
      </w:pPr>
    </w:p>
    <w:p w:rsid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 xml:space="preserve">Art. 5o  </w:t>
      </w:r>
      <w:r w:rsidRPr="00684646">
        <w:rPr>
          <w:rFonts w:ascii="Times New Roman" w:hAnsi="Times New Roman"/>
          <w:i/>
          <w:sz w:val="22"/>
          <w:szCs w:val="22"/>
        </w:rPr>
        <w:t>O fato gerador das anuidades é a existência de inscrição no conselho, ainda que por tempo limitado, ao longo do exercício.</w:t>
      </w:r>
    </w:p>
    <w:p w:rsidR="00F336C7" w:rsidRDefault="00F336C7" w:rsidP="00684646">
      <w:pPr>
        <w:pStyle w:val="PargrafodaLista"/>
        <w:ind w:left="720"/>
        <w:jc w:val="both"/>
        <w:rPr>
          <w:rFonts w:ascii="Times New Roman" w:hAnsi="Times New Roman"/>
          <w:i/>
          <w:sz w:val="22"/>
          <w:szCs w:val="22"/>
        </w:rPr>
      </w:pPr>
    </w:p>
    <w:p w:rsidR="00F336C7" w:rsidRPr="00A31EDF" w:rsidRDefault="00A31EDF" w:rsidP="00A31EDF">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Assim, </w:t>
      </w:r>
      <w:r w:rsidR="00F336C7" w:rsidRPr="00A31EDF">
        <w:rPr>
          <w:rFonts w:ascii="Times New Roman" w:hAnsi="Times New Roman"/>
          <w:sz w:val="22"/>
          <w:szCs w:val="22"/>
        </w:rPr>
        <w:t xml:space="preserve">imperioso destacar que o fato gerador para a cobrança da anuidade devida a Conselhos Profissionais é a mera inscrição. Não tendo a </w:t>
      </w:r>
      <w:r>
        <w:rPr>
          <w:rFonts w:ascii="Times New Roman" w:hAnsi="Times New Roman"/>
          <w:sz w:val="22"/>
          <w:szCs w:val="22"/>
        </w:rPr>
        <w:t>impugnante</w:t>
      </w:r>
      <w:r w:rsidR="00F336C7" w:rsidRPr="00A31EDF">
        <w:rPr>
          <w:rFonts w:ascii="Times New Roman" w:hAnsi="Times New Roman"/>
          <w:sz w:val="22"/>
          <w:szCs w:val="22"/>
        </w:rPr>
        <w:t xml:space="preserve"> comprovado que </w:t>
      </w:r>
      <w:r w:rsidR="00A40328">
        <w:rPr>
          <w:rFonts w:ascii="Times New Roman" w:hAnsi="Times New Roman"/>
          <w:sz w:val="22"/>
          <w:szCs w:val="22"/>
        </w:rPr>
        <w:t>realizou</w:t>
      </w:r>
      <w:r w:rsidR="00F336C7" w:rsidRPr="00A31EDF">
        <w:rPr>
          <w:rFonts w:ascii="Times New Roman" w:hAnsi="Times New Roman"/>
          <w:sz w:val="22"/>
          <w:szCs w:val="22"/>
        </w:rPr>
        <w:t xml:space="preserve"> pedido de cancelamento da sua inscrição junto ao Conselho, não há como se falar em cobranças indevidas de anuidades. Nesse sentido:</w:t>
      </w:r>
    </w:p>
    <w:p w:rsidR="00F336C7" w:rsidRPr="0042176A" w:rsidRDefault="00F336C7" w:rsidP="00B75DAB">
      <w:pPr>
        <w:pStyle w:val="citacao"/>
        <w:spacing w:before="284" w:beforeAutospacing="0" w:after="284" w:afterAutospacing="0" w:line="288" w:lineRule="atLeast"/>
        <w:ind w:left="709"/>
        <w:jc w:val="both"/>
        <w:rPr>
          <w:i/>
          <w:iCs/>
          <w:color w:val="052229"/>
          <w:sz w:val="22"/>
          <w:szCs w:val="22"/>
        </w:rPr>
      </w:pPr>
      <w:r w:rsidRPr="001F6102">
        <w:rPr>
          <w:b/>
          <w:i/>
          <w:iCs/>
          <w:color w:val="052229"/>
          <w:sz w:val="22"/>
          <w:szCs w:val="22"/>
        </w:rPr>
        <w:t>TRIBUTÁRIO. CONSELHOS REGIONAIS DE FISCALIZAÇÃO PROFISSIONAL. ANUIDADES. PESSOA FÍSICA. FATO GERADOR. INSCRIÇÃO. PEDIDO DE CANCELAMENTO</w:t>
      </w:r>
      <w:r>
        <w:rPr>
          <w:i/>
          <w:iCs/>
          <w:color w:val="052229"/>
          <w:sz w:val="22"/>
          <w:szCs w:val="22"/>
        </w:rPr>
        <w:t xml:space="preserve">. </w:t>
      </w:r>
      <w:proofErr w:type="gramStart"/>
      <w:r>
        <w:rPr>
          <w:i/>
          <w:iCs/>
          <w:color w:val="052229"/>
          <w:sz w:val="22"/>
          <w:szCs w:val="22"/>
        </w:rPr>
        <w:t>multa</w:t>
      </w:r>
      <w:proofErr w:type="gramEnd"/>
      <w:r>
        <w:rPr>
          <w:i/>
          <w:iCs/>
          <w:color w:val="052229"/>
          <w:sz w:val="22"/>
          <w:szCs w:val="22"/>
        </w:rPr>
        <w:t xml:space="preserve"> eleitoral. </w:t>
      </w:r>
      <w:proofErr w:type="gramStart"/>
      <w:r>
        <w:rPr>
          <w:i/>
          <w:iCs/>
          <w:color w:val="052229"/>
          <w:sz w:val="22"/>
          <w:szCs w:val="22"/>
        </w:rPr>
        <w:t>inexigibilidade</w:t>
      </w:r>
      <w:proofErr w:type="gramEnd"/>
      <w:r>
        <w:rPr>
          <w:i/>
          <w:iCs/>
          <w:color w:val="052229"/>
          <w:sz w:val="22"/>
          <w:szCs w:val="22"/>
        </w:rPr>
        <w:t xml:space="preserve">. 1. 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w:t>
      </w:r>
      <w:r w:rsidRPr="0042176A">
        <w:rPr>
          <w:b/>
          <w:i/>
          <w:iCs/>
          <w:color w:val="052229"/>
          <w:sz w:val="22"/>
          <w:szCs w:val="22"/>
        </w:rPr>
        <w:t>2. Existindo regular inscrição junto ao conselho, o afastamento do exercício da atividade não possui o condão, por si só, de legitimar o não-recolhimento das anuidades, sendo imprescindível o pedido de cancelamento á instituição.</w:t>
      </w:r>
      <w:r>
        <w:rPr>
          <w:i/>
          <w:iCs/>
          <w:color w:val="052229"/>
          <w:sz w:val="22"/>
          <w:szCs w:val="22"/>
        </w:rPr>
        <w:t xml:space="preserve"> 3. Não se pode imputar a multa administrativa pelo não comparecimento no pleito eleitoral da autarquia àquele profissional que se encontra impedido de exercer o seu direito de voto por se encontrar inadimplente com anuidades.     (TRF4, AC 5008821-65.2015.404.7102, SEGUNDA TURMA, Relator ROBERTO FERNANDES JÚNIOR, juntado aos autos em 13/10/2016)</w:t>
      </w:r>
      <w:r w:rsidR="0042176A">
        <w:rPr>
          <w:i/>
          <w:iCs/>
          <w:color w:val="052229"/>
          <w:sz w:val="22"/>
          <w:szCs w:val="22"/>
        </w:rPr>
        <w:t xml:space="preserve"> </w:t>
      </w:r>
      <w:r w:rsidR="001F6102" w:rsidRPr="001F6102">
        <w:rPr>
          <w:iCs/>
          <w:color w:val="052229"/>
          <w:sz w:val="22"/>
          <w:szCs w:val="22"/>
        </w:rPr>
        <w:t>(g</w:t>
      </w:r>
      <w:r w:rsidR="0042176A" w:rsidRPr="0042176A">
        <w:rPr>
          <w:iCs/>
          <w:color w:val="052229"/>
          <w:sz w:val="22"/>
          <w:szCs w:val="22"/>
        </w:rPr>
        <w:t>rifou-se</w:t>
      </w:r>
      <w:r w:rsidR="001F6102">
        <w:rPr>
          <w:iCs/>
          <w:color w:val="052229"/>
          <w:sz w:val="22"/>
          <w:szCs w:val="22"/>
        </w:rPr>
        <w:t>)</w:t>
      </w:r>
      <w:r w:rsidR="0042176A">
        <w:rPr>
          <w:iCs/>
          <w:color w:val="052229"/>
          <w:sz w:val="22"/>
          <w:szCs w:val="22"/>
        </w:rPr>
        <w:t>.</w:t>
      </w:r>
    </w:p>
    <w:p w:rsidR="00720A70"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Diferente seria caso </w:t>
      </w:r>
      <w:r w:rsidR="00720A70">
        <w:rPr>
          <w:rFonts w:ascii="Times New Roman" w:hAnsi="Times New Roman"/>
          <w:sz w:val="22"/>
          <w:szCs w:val="22"/>
        </w:rPr>
        <w:t>a</w:t>
      </w:r>
      <w:r w:rsidRPr="00684646">
        <w:rPr>
          <w:rFonts w:ascii="Times New Roman" w:hAnsi="Times New Roman"/>
          <w:sz w:val="22"/>
          <w:szCs w:val="22"/>
        </w:rPr>
        <w:t xml:space="preserve"> profissional tivesse optado por solicitar a baixa do seu registro junto a este ente fiscalizador</w:t>
      </w:r>
      <w:r w:rsidR="00866B60">
        <w:rPr>
          <w:rFonts w:ascii="Times New Roman" w:hAnsi="Times New Roman"/>
          <w:sz w:val="22"/>
          <w:szCs w:val="22"/>
        </w:rPr>
        <w:t>,</w:t>
      </w:r>
      <w:r w:rsidRPr="00684646">
        <w:rPr>
          <w:rFonts w:ascii="Times New Roman" w:hAnsi="Times New Roman"/>
          <w:sz w:val="22"/>
          <w:szCs w:val="22"/>
        </w:rPr>
        <w:t xml:space="preserve"> </w:t>
      </w:r>
      <w:r w:rsidR="00720A70">
        <w:rPr>
          <w:rFonts w:ascii="Times New Roman" w:hAnsi="Times New Roman"/>
          <w:sz w:val="22"/>
          <w:szCs w:val="22"/>
        </w:rPr>
        <w:t>sendo</w:t>
      </w:r>
      <w:r w:rsidRPr="00684646">
        <w:rPr>
          <w:rFonts w:ascii="Times New Roman" w:hAnsi="Times New Roman"/>
          <w:sz w:val="22"/>
          <w:szCs w:val="22"/>
        </w:rPr>
        <w:t xml:space="preserve"> d</w:t>
      </w:r>
      <w:r w:rsidR="0026476A">
        <w:rPr>
          <w:rFonts w:ascii="Times New Roman" w:hAnsi="Times New Roman"/>
          <w:sz w:val="22"/>
          <w:szCs w:val="22"/>
        </w:rPr>
        <w:t>e seu interesse</w:t>
      </w:r>
      <w:r w:rsidRPr="00684646">
        <w:rPr>
          <w:rFonts w:ascii="Times New Roman" w:hAnsi="Times New Roman"/>
          <w:sz w:val="22"/>
          <w:szCs w:val="22"/>
        </w:rPr>
        <w:t xml:space="preserve"> deixar </w:t>
      </w:r>
      <w:r w:rsidR="007C1F92">
        <w:rPr>
          <w:rFonts w:ascii="Times New Roman" w:hAnsi="Times New Roman"/>
          <w:sz w:val="22"/>
          <w:szCs w:val="22"/>
        </w:rPr>
        <w:t xml:space="preserve">de ter </w:t>
      </w:r>
      <w:r w:rsidR="00354060">
        <w:rPr>
          <w:rFonts w:ascii="Times New Roman" w:hAnsi="Times New Roman"/>
          <w:sz w:val="22"/>
          <w:szCs w:val="22"/>
        </w:rPr>
        <w:t xml:space="preserve">seu registro ativo ainda que justificado pela </w:t>
      </w:r>
      <w:r w:rsidR="007C1F92">
        <w:rPr>
          <w:rFonts w:ascii="Times New Roman" w:hAnsi="Times New Roman"/>
          <w:sz w:val="22"/>
          <w:szCs w:val="22"/>
        </w:rPr>
        <w:t xml:space="preserve">docência </w:t>
      </w:r>
      <w:r w:rsidR="00866B60">
        <w:rPr>
          <w:rFonts w:ascii="Times New Roman" w:hAnsi="Times New Roman"/>
          <w:sz w:val="22"/>
          <w:szCs w:val="22"/>
        </w:rPr>
        <w:t>exercida</w:t>
      </w:r>
      <w:r w:rsidR="00720A70">
        <w:rPr>
          <w:rFonts w:ascii="Times New Roman" w:hAnsi="Times New Roman"/>
          <w:sz w:val="22"/>
          <w:szCs w:val="22"/>
        </w:rPr>
        <w:t>.</w:t>
      </w:r>
    </w:p>
    <w:p w:rsid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Nesse sentido, inclusive, não há como o Conselho ter conhecimento do desejo d</w:t>
      </w:r>
      <w:r w:rsidR="001E1B9B">
        <w:rPr>
          <w:rFonts w:ascii="Times New Roman" w:hAnsi="Times New Roman"/>
          <w:sz w:val="22"/>
          <w:szCs w:val="22"/>
        </w:rPr>
        <w:t>a</w:t>
      </w:r>
      <w:r w:rsidRPr="00684646">
        <w:rPr>
          <w:rFonts w:ascii="Times New Roman" w:hAnsi="Times New Roman"/>
          <w:sz w:val="22"/>
          <w:szCs w:val="22"/>
        </w:rPr>
        <w:t xml:space="preserve"> profissional em não mais exercer a profissão sem que est</w:t>
      </w:r>
      <w:r w:rsidR="001E1B9B">
        <w:rPr>
          <w:rFonts w:ascii="Times New Roman" w:hAnsi="Times New Roman"/>
          <w:sz w:val="22"/>
          <w:szCs w:val="22"/>
        </w:rPr>
        <w:t>a</w:t>
      </w:r>
      <w:r w:rsidRPr="00684646">
        <w:rPr>
          <w:rFonts w:ascii="Times New Roman" w:hAnsi="Times New Roman"/>
          <w:sz w:val="22"/>
          <w:szCs w:val="22"/>
        </w:rPr>
        <w:t xml:space="preserve"> comunique a situação ao Conselho, ato voluntário que deixou de realizar, não se desincumbindo, portanto, do ônus que lhe cabia.</w:t>
      </w:r>
    </w:p>
    <w:p w:rsidR="00DA15EB" w:rsidRPr="00684646" w:rsidRDefault="00DA15EB"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181A85">
        <w:rPr>
          <w:rFonts w:ascii="Times New Roman" w:hAnsi="Times New Roman"/>
          <w:sz w:val="22"/>
          <w:szCs w:val="22"/>
        </w:rPr>
        <w:t>Desta forma</w:t>
      </w:r>
      <w:r w:rsidR="00181A85">
        <w:rPr>
          <w:rFonts w:ascii="Times New Roman" w:hAnsi="Times New Roman"/>
          <w:sz w:val="22"/>
          <w:szCs w:val="22"/>
        </w:rPr>
        <w:t>,</w:t>
      </w:r>
      <w:r w:rsidRPr="00181A85">
        <w:rPr>
          <w:rFonts w:ascii="Times New Roman" w:hAnsi="Times New Roman"/>
          <w:sz w:val="22"/>
          <w:szCs w:val="22"/>
        </w:rPr>
        <w:t xml:space="preserve"> frisa-se</w:t>
      </w:r>
      <w:r w:rsidR="00181A85">
        <w:rPr>
          <w:rFonts w:ascii="Times New Roman" w:hAnsi="Times New Roman"/>
          <w:sz w:val="22"/>
          <w:szCs w:val="22"/>
        </w:rPr>
        <w:t xml:space="preserve"> que</w:t>
      </w:r>
      <w:r w:rsidRPr="00181A85">
        <w:rPr>
          <w:rFonts w:ascii="Times New Roman" w:hAnsi="Times New Roman"/>
          <w:sz w:val="22"/>
          <w:szCs w:val="22"/>
        </w:rPr>
        <w:t xml:space="preserve">, quando o profissional opta por não exercer a profissão regulamentada </w:t>
      </w:r>
      <w:r w:rsidR="00181A85">
        <w:rPr>
          <w:rFonts w:ascii="Times New Roman" w:hAnsi="Times New Roman"/>
          <w:sz w:val="22"/>
          <w:szCs w:val="22"/>
        </w:rPr>
        <w:t xml:space="preserve">este </w:t>
      </w:r>
      <w:r w:rsidRPr="00181A85">
        <w:rPr>
          <w:rFonts w:ascii="Times New Roman" w:hAnsi="Times New Roman"/>
          <w:sz w:val="22"/>
          <w:szCs w:val="22"/>
        </w:rPr>
        <w:t xml:space="preserve">deve adotar procedimentos administrativos visando ao seu desligamento dos quadros do órgão de classe, para que se desobrigue do pagamento da anuidade. Constitui direito do profissional não permanecer vinculado ao órgão, seja porque não pretende mais desempenhar a </w:t>
      </w:r>
      <w:r w:rsidRPr="00181A85">
        <w:rPr>
          <w:rFonts w:ascii="Times New Roman" w:hAnsi="Times New Roman"/>
          <w:sz w:val="22"/>
          <w:szCs w:val="22"/>
        </w:rPr>
        <w:lastRenderedPageBreak/>
        <w:t>atividade, seja porque o cargo ou a função, re</w:t>
      </w:r>
      <w:r w:rsidR="00181A85">
        <w:rPr>
          <w:rFonts w:ascii="Times New Roman" w:hAnsi="Times New Roman"/>
          <w:sz w:val="22"/>
          <w:szCs w:val="22"/>
        </w:rPr>
        <w:t>g</w:t>
      </w:r>
      <w:r w:rsidRPr="00181A85">
        <w:rPr>
          <w:rFonts w:ascii="Times New Roman" w:hAnsi="Times New Roman"/>
          <w:sz w:val="22"/>
          <w:szCs w:val="22"/>
        </w:rPr>
        <w:t>idos por legislação específica, não exigem a inscrição.</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Importa referir, ainda, que a presente manifestação quanto à impugnação realizada, foi elaborada com o suporte jurídico da assessoria jurídica do CAU/RS, a qual subscreve conjuntamente este parecer.  </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Ante o exposto, opino pela </w:t>
      </w:r>
      <w:r w:rsidRPr="00684646">
        <w:rPr>
          <w:rFonts w:ascii="Times New Roman" w:hAnsi="Times New Roman"/>
          <w:b/>
          <w:sz w:val="22"/>
          <w:szCs w:val="22"/>
        </w:rPr>
        <w:t>improcedência</w:t>
      </w:r>
      <w:r w:rsidRPr="00684646">
        <w:rPr>
          <w:rFonts w:ascii="Times New Roman" w:hAnsi="Times New Roman"/>
          <w:sz w:val="22"/>
          <w:szCs w:val="22"/>
        </w:rPr>
        <w:t xml:space="preserve"> da impugnação oferecida pel</w:t>
      </w:r>
      <w:r w:rsidR="00FC6924">
        <w:rPr>
          <w:rFonts w:ascii="Times New Roman" w:hAnsi="Times New Roman"/>
          <w:sz w:val="22"/>
          <w:szCs w:val="22"/>
        </w:rPr>
        <w:t>a</w:t>
      </w:r>
      <w:r w:rsidRPr="00684646">
        <w:rPr>
          <w:rFonts w:ascii="Times New Roman" w:hAnsi="Times New Roman"/>
          <w:sz w:val="22"/>
          <w:szCs w:val="22"/>
        </w:rPr>
        <w:t xml:space="preserve"> Arquitet</w:t>
      </w:r>
      <w:r w:rsidR="005D32E5">
        <w:rPr>
          <w:rFonts w:ascii="Times New Roman" w:hAnsi="Times New Roman"/>
          <w:sz w:val="22"/>
          <w:szCs w:val="22"/>
        </w:rPr>
        <w:t>a</w:t>
      </w:r>
      <w:r w:rsidRPr="00684646">
        <w:rPr>
          <w:rFonts w:ascii="Times New Roman" w:hAnsi="Times New Roman"/>
          <w:sz w:val="22"/>
          <w:szCs w:val="22"/>
        </w:rPr>
        <w:t xml:space="preserve"> e Urbanista </w:t>
      </w:r>
      <w:r w:rsidR="006D0446" w:rsidRPr="00E740AA">
        <w:rPr>
          <w:rFonts w:ascii="Times New Roman" w:hAnsi="Times New Roman"/>
          <w:sz w:val="22"/>
          <w:szCs w:val="22"/>
        </w:rPr>
        <w:t>HELEN GULARTE CABRAL</w:t>
      </w:r>
      <w:r w:rsidR="006D0446" w:rsidRPr="00684646">
        <w:rPr>
          <w:rFonts w:ascii="Times New Roman" w:eastAsia="Calibri" w:hAnsi="Times New Roman"/>
          <w:sz w:val="22"/>
          <w:szCs w:val="22"/>
        </w:rPr>
        <w:t xml:space="preserve"> – CPF </w:t>
      </w:r>
      <w:r w:rsidR="006D0446" w:rsidRPr="00E740AA">
        <w:rPr>
          <w:rFonts w:ascii="Times New Roman" w:hAnsi="Times New Roman"/>
          <w:sz w:val="22"/>
          <w:szCs w:val="22"/>
        </w:rPr>
        <w:t>009.083.840-84</w:t>
      </w:r>
      <w:r w:rsidRPr="00684646">
        <w:rPr>
          <w:rFonts w:ascii="Times New Roman" w:hAnsi="Times New Roman"/>
          <w:sz w:val="22"/>
          <w:szCs w:val="22"/>
        </w:rPr>
        <w:t>, com o fim de, com base nos elementos probatórios existentes nos autos, manter o débito relativo às anuidades de 2014, 2015, 2016 e 2017, visto que ausente solicitação de baixa de registro, a qual constitui ato voluntário do profissional e que, nos termos do Art. 5º da Lei nº 12.514/2011, o fato gerador das anuidades é a existência de inscrição no Conselho, bem como pelo fato de que a alegada</w:t>
      </w:r>
      <w:r w:rsidR="00C70FBB">
        <w:rPr>
          <w:rFonts w:ascii="Times New Roman" w:hAnsi="Times New Roman"/>
          <w:sz w:val="22"/>
          <w:szCs w:val="22"/>
        </w:rPr>
        <w:t xml:space="preserve"> docência</w:t>
      </w:r>
      <w:r w:rsidRPr="00684646">
        <w:rPr>
          <w:rFonts w:ascii="Times New Roman" w:hAnsi="Times New Roman"/>
          <w:sz w:val="22"/>
          <w:szCs w:val="22"/>
        </w:rPr>
        <w:t>, por si só, não cessa o fato gerador das anuidades.</w:t>
      </w:r>
    </w:p>
    <w:p w:rsidR="00684646" w:rsidRPr="00684646" w:rsidRDefault="00684646" w:rsidP="00684646">
      <w:pPr>
        <w:spacing w:before="120" w:after="120" w:line="360" w:lineRule="auto"/>
        <w:jc w:val="center"/>
        <w:rPr>
          <w:rFonts w:ascii="Times New Roman" w:eastAsia="Calibri" w:hAnsi="Times New Roman"/>
          <w:sz w:val="22"/>
          <w:szCs w:val="22"/>
        </w:rPr>
      </w:pPr>
    </w:p>
    <w:p w:rsidR="00684646" w:rsidRPr="00684646" w:rsidRDefault="00684646" w:rsidP="00684646">
      <w:pPr>
        <w:spacing w:before="120" w:after="120" w:line="360" w:lineRule="auto"/>
        <w:jc w:val="center"/>
        <w:rPr>
          <w:rFonts w:ascii="Times New Roman" w:eastAsia="Calibri" w:hAnsi="Times New Roman"/>
          <w:sz w:val="22"/>
          <w:szCs w:val="22"/>
        </w:rPr>
      </w:pPr>
      <w:r w:rsidRPr="00684646">
        <w:rPr>
          <w:rFonts w:ascii="Times New Roman" w:eastAsia="Calibri" w:hAnsi="Times New Roman"/>
          <w:sz w:val="22"/>
          <w:szCs w:val="22"/>
        </w:rPr>
        <w:t xml:space="preserve">Porto Alegre, </w:t>
      </w:r>
      <w:r w:rsidR="00F144D3">
        <w:rPr>
          <w:rFonts w:ascii="Times New Roman" w:eastAsia="Calibri" w:hAnsi="Times New Roman"/>
          <w:sz w:val="22"/>
          <w:szCs w:val="22"/>
        </w:rPr>
        <w:t>29</w:t>
      </w:r>
      <w:r w:rsidRPr="00684646">
        <w:rPr>
          <w:rFonts w:ascii="Times New Roman" w:eastAsia="Calibri" w:hAnsi="Times New Roman"/>
          <w:sz w:val="22"/>
          <w:szCs w:val="22"/>
        </w:rPr>
        <w:t xml:space="preserve"> de </w:t>
      </w:r>
      <w:r w:rsidR="00E61A04">
        <w:rPr>
          <w:rFonts w:ascii="Times New Roman" w:eastAsia="Calibri" w:hAnsi="Times New Roman"/>
          <w:sz w:val="22"/>
          <w:szCs w:val="22"/>
        </w:rPr>
        <w:t>janeiro</w:t>
      </w:r>
      <w:r w:rsidRPr="00684646">
        <w:rPr>
          <w:rFonts w:ascii="Times New Roman" w:eastAsia="Calibri" w:hAnsi="Times New Roman"/>
          <w:sz w:val="22"/>
          <w:szCs w:val="22"/>
        </w:rPr>
        <w:t xml:space="preserve"> de 201</w:t>
      </w:r>
      <w:r w:rsidR="00E61A04">
        <w:rPr>
          <w:rFonts w:ascii="Times New Roman" w:eastAsia="Calibri" w:hAnsi="Times New Roman"/>
          <w:sz w:val="22"/>
          <w:szCs w:val="22"/>
        </w:rPr>
        <w:t>9</w:t>
      </w:r>
      <w:r w:rsidRPr="00684646">
        <w:rPr>
          <w:rFonts w:ascii="Times New Roman" w:eastAsia="Calibri" w:hAnsi="Times New Roman"/>
          <w:sz w:val="22"/>
          <w:szCs w:val="22"/>
        </w:rPr>
        <w:t>.</w:t>
      </w:r>
    </w:p>
    <w:p w:rsidR="00684646" w:rsidRPr="00684646" w:rsidRDefault="00684646" w:rsidP="00684646">
      <w:pPr>
        <w:spacing w:before="120" w:after="120"/>
        <w:jc w:val="center"/>
        <w:rPr>
          <w:rFonts w:ascii="Times New Roman" w:eastAsia="Calibri" w:hAnsi="Times New Roman"/>
          <w:sz w:val="22"/>
          <w:szCs w:val="22"/>
        </w:rPr>
      </w:pPr>
    </w:p>
    <w:p w:rsidR="00684646" w:rsidRPr="00E61A04" w:rsidRDefault="00C2286A" w:rsidP="00684646">
      <w:pPr>
        <w:tabs>
          <w:tab w:val="left" w:pos="1418"/>
        </w:tabs>
        <w:spacing w:line="276" w:lineRule="auto"/>
        <w:jc w:val="center"/>
        <w:rPr>
          <w:rFonts w:ascii="Times New Roman" w:hAnsi="Times New Roman"/>
          <w:b/>
          <w:sz w:val="22"/>
          <w:szCs w:val="22"/>
        </w:rPr>
      </w:pPr>
      <w:r w:rsidRPr="00E61A04">
        <w:rPr>
          <w:rFonts w:ascii="Times New Roman" w:hAnsi="Times New Roman"/>
          <w:b/>
          <w:sz w:val="22"/>
          <w:szCs w:val="22"/>
        </w:rPr>
        <w:t>RAQUEL RHODEN BRESOLIN</w:t>
      </w:r>
    </w:p>
    <w:p w:rsidR="00684646" w:rsidRPr="00684646" w:rsidRDefault="00684646" w:rsidP="00684646">
      <w:pPr>
        <w:spacing w:before="120" w:after="120"/>
        <w:ind w:left="1440"/>
        <w:rPr>
          <w:rFonts w:ascii="Times New Roman" w:eastAsia="Calibri" w:hAnsi="Times New Roman"/>
          <w:sz w:val="22"/>
          <w:szCs w:val="22"/>
        </w:rPr>
      </w:pPr>
      <w:r w:rsidRPr="00684646">
        <w:rPr>
          <w:rFonts w:ascii="Times New Roman" w:eastAsia="Calibri" w:hAnsi="Times New Roman"/>
          <w:sz w:val="22"/>
          <w:szCs w:val="22"/>
        </w:rPr>
        <w:t xml:space="preserve">                 </w:t>
      </w:r>
      <w:r w:rsidRPr="00684646">
        <w:rPr>
          <w:rFonts w:ascii="Times New Roman" w:eastAsia="Calibri" w:hAnsi="Times New Roman"/>
          <w:sz w:val="22"/>
          <w:szCs w:val="22"/>
        </w:rPr>
        <w:tab/>
        <w:t xml:space="preserve">     </w:t>
      </w:r>
      <w:r w:rsidR="00E61A04">
        <w:rPr>
          <w:rFonts w:ascii="Times New Roman" w:eastAsia="Calibri" w:hAnsi="Times New Roman"/>
          <w:sz w:val="22"/>
          <w:szCs w:val="22"/>
        </w:rPr>
        <w:t xml:space="preserve">  </w:t>
      </w:r>
      <w:r w:rsidRPr="00684646">
        <w:rPr>
          <w:rFonts w:ascii="Times New Roman" w:eastAsia="Calibri" w:hAnsi="Times New Roman"/>
          <w:sz w:val="22"/>
          <w:szCs w:val="22"/>
        </w:rPr>
        <w:t xml:space="preserve">Conselheiro(a) Relator(a) </w:t>
      </w:r>
      <w:r w:rsidRPr="00684646">
        <w:rPr>
          <w:rFonts w:ascii="Times New Roman" w:eastAsia="Calibri" w:hAnsi="Times New Roman"/>
          <w:sz w:val="22"/>
          <w:szCs w:val="22"/>
        </w:rPr>
        <w:tab/>
      </w:r>
    </w:p>
    <w:p w:rsidR="00684646" w:rsidRPr="00684646" w:rsidRDefault="00684646" w:rsidP="00684646">
      <w:pPr>
        <w:spacing w:before="120" w:after="120"/>
        <w:ind w:left="1440"/>
        <w:rPr>
          <w:rFonts w:ascii="Times New Roman" w:eastAsia="Calibri" w:hAnsi="Times New Roman"/>
          <w:sz w:val="22"/>
          <w:szCs w:val="22"/>
        </w:rPr>
      </w:pPr>
    </w:p>
    <w:p w:rsidR="00684646" w:rsidRPr="00684646" w:rsidRDefault="00684646" w:rsidP="00684646">
      <w:pPr>
        <w:spacing w:before="120" w:after="120"/>
        <w:ind w:left="1440"/>
        <w:jc w:val="right"/>
        <w:rPr>
          <w:rFonts w:ascii="Times New Roman" w:eastAsia="Calibri" w:hAnsi="Times New Roman"/>
          <w:b/>
          <w:sz w:val="22"/>
          <w:szCs w:val="22"/>
        </w:rPr>
      </w:pPr>
      <w:r w:rsidRPr="00684646">
        <w:rPr>
          <w:rFonts w:ascii="Times New Roman" w:hAnsi="Times New Roman"/>
          <w:b/>
          <w:sz w:val="22"/>
          <w:szCs w:val="22"/>
        </w:rPr>
        <w:t>Cezar Eduardo Rieger</w:t>
      </w:r>
    </w:p>
    <w:p w:rsidR="00684646" w:rsidRPr="00684646" w:rsidRDefault="00684646" w:rsidP="00684646">
      <w:pPr>
        <w:spacing w:before="120" w:after="120"/>
        <w:ind w:firstLine="720"/>
        <w:jc w:val="right"/>
        <w:rPr>
          <w:rFonts w:ascii="Times New Roman" w:eastAsia="Calibri" w:hAnsi="Times New Roman"/>
          <w:sz w:val="22"/>
          <w:szCs w:val="22"/>
        </w:rPr>
      </w:pPr>
      <w:r w:rsidRPr="00684646">
        <w:rPr>
          <w:rFonts w:ascii="Times New Roman" w:eastAsia="Calibri" w:hAnsi="Times New Roman"/>
          <w:sz w:val="22"/>
          <w:szCs w:val="22"/>
        </w:rPr>
        <w:t>Assessor Jurídico da CPF-CAU/RS</w:t>
      </w:r>
    </w:p>
    <w:p w:rsidR="00684646" w:rsidRPr="00684646" w:rsidRDefault="00684646" w:rsidP="00684646">
      <w:pPr>
        <w:spacing w:before="120" w:after="120"/>
        <w:ind w:left="1440"/>
        <w:rPr>
          <w:rFonts w:ascii="Times New Roman" w:eastAsia="Calibri" w:hAnsi="Times New Roman"/>
          <w:sz w:val="22"/>
          <w:szCs w:val="22"/>
        </w:rPr>
      </w:pPr>
    </w:p>
    <w:p w:rsidR="00684646" w:rsidRDefault="00684646"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A63533" w:rsidRDefault="00A63533" w:rsidP="00684646">
      <w:pPr>
        <w:spacing w:before="120" w:after="120"/>
        <w:ind w:left="1440"/>
        <w:rPr>
          <w:rFonts w:ascii="Times New Roman" w:eastAsia="Calibri" w:hAnsi="Times New Roman"/>
          <w:sz w:val="22"/>
          <w:szCs w:val="22"/>
        </w:rPr>
      </w:pPr>
    </w:p>
    <w:p w:rsidR="00A63533" w:rsidRDefault="00A63533" w:rsidP="00684646">
      <w:pPr>
        <w:spacing w:before="120" w:after="120"/>
        <w:ind w:left="1440"/>
        <w:rPr>
          <w:rFonts w:ascii="Times New Roman" w:eastAsia="Calibri" w:hAnsi="Times New Roman"/>
          <w:sz w:val="22"/>
          <w:szCs w:val="22"/>
        </w:rPr>
      </w:pPr>
    </w:p>
    <w:p w:rsidR="00A63533" w:rsidRDefault="00A63533" w:rsidP="00684646">
      <w:pPr>
        <w:spacing w:before="120" w:after="120"/>
        <w:ind w:left="1440"/>
        <w:rPr>
          <w:rFonts w:ascii="Times New Roman" w:eastAsia="Calibri" w:hAnsi="Times New Roman"/>
          <w:sz w:val="22"/>
          <w:szCs w:val="22"/>
        </w:rPr>
      </w:pPr>
    </w:p>
    <w:p w:rsidR="00A63533" w:rsidRPr="00684646" w:rsidRDefault="00A63533" w:rsidP="00684646">
      <w:pPr>
        <w:spacing w:before="120" w:after="120"/>
        <w:ind w:left="1440"/>
        <w:rPr>
          <w:rFonts w:ascii="Times New Roman" w:eastAsia="Calibri" w:hAnsi="Times New Roman"/>
          <w:sz w:val="22"/>
          <w:szCs w:val="22"/>
        </w:rPr>
      </w:pPr>
    </w:p>
    <w:p w:rsidR="00684646" w:rsidRPr="00684646" w:rsidRDefault="00684646" w:rsidP="00684646">
      <w:pPr>
        <w:spacing w:before="120" w:after="120"/>
        <w:ind w:left="1440"/>
        <w:rPr>
          <w:rFonts w:ascii="Times New Roman" w:eastAsia="Calibri" w:hAnsi="Times New Roman"/>
          <w:sz w:val="22"/>
          <w:szCs w:val="22"/>
        </w:rPr>
      </w:pPr>
    </w:p>
    <w:p w:rsidR="00684646" w:rsidRPr="00684646" w:rsidRDefault="00684646" w:rsidP="00684646">
      <w:pPr>
        <w:spacing w:before="120" w:after="120"/>
        <w:ind w:left="1440"/>
        <w:rPr>
          <w:rFonts w:ascii="Times New Roman" w:eastAsia="Calibri"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797"/>
        <w:gridCol w:w="216"/>
      </w:tblGrid>
      <w:tr w:rsidR="00E740AA" w:rsidRPr="00684646" w:rsidTr="00E740A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E740AA" w:rsidRPr="00684646" w:rsidRDefault="00E740AA" w:rsidP="005F736C">
            <w:pPr>
              <w:tabs>
                <w:tab w:val="left" w:pos="1418"/>
              </w:tabs>
              <w:rPr>
                <w:rFonts w:ascii="Times New Roman" w:hAnsi="Times New Roman"/>
                <w:sz w:val="22"/>
                <w:szCs w:val="22"/>
              </w:rPr>
            </w:pPr>
            <w:r w:rsidRPr="00684646">
              <w:rPr>
                <w:rFonts w:ascii="Times New Roman" w:hAnsi="Times New Roman"/>
                <w:sz w:val="22"/>
                <w:szCs w:val="22"/>
              </w:rPr>
              <w:lastRenderedPageBreak/>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E740AA" w:rsidRPr="00684646" w:rsidRDefault="00E740AA" w:rsidP="005F736C">
            <w:pPr>
              <w:tabs>
                <w:tab w:val="left" w:pos="1418"/>
              </w:tabs>
              <w:rPr>
                <w:rFonts w:ascii="Times New Roman" w:hAnsi="Times New Roman"/>
                <w:sz w:val="22"/>
                <w:szCs w:val="22"/>
              </w:rPr>
            </w:pPr>
            <w:r>
              <w:rPr>
                <w:rFonts w:ascii="Times New Roman" w:hAnsi="Times New Roman"/>
                <w:sz w:val="22"/>
                <w:szCs w:val="22"/>
              </w:rPr>
              <w:t>542</w:t>
            </w:r>
            <w:r w:rsidRPr="00684646">
              <w:rPr>
                <w:rFonts w:ascii="Times New Roman" w:hAnsi="Times New Roman"/>
                <w:sz w:val="22"/>
                <w:szCs w:val="22"/>
              </w:rPr>
              <w:t>/2018</w:t>
            </w:r>
          </w:p>
        </w:tc>
      </w:tr>
      <w:tr w:rsidR="00E740AA" w:rsidRPr="00684646" w:rsidTr="00E740A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E740AA" w:rsidRPr="00684646" w:rsidRDefault="00E740AA" w:rsidP="005F736C">
            <w:pPr>
              <w:tabs>
                <w:tab w:val="left" w:pos="1418"/>
              </w:tabs>
              <w:rPr>
                <w:rFonts w:ascii="Times New Roman" w:hAnsi="Times New Roman"/>
                <w:sz w:val="22"/>
                <w:szCs w:val="22"/>
              </w:rPr>
            </w:pPr>
            <w:r w:rsidRPr="00684646">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E740AA" w:rsidRPr="00684646" w:rsidRDefault="00E740AA" w:rsidP="005F736C">
            <w:pPr>
              <w:tabs>
                <w:tab w:val="left" w:pos="1418"/>
              </w:tabs>
              <w:rPr>
                <w:rFonts w:ascii="Times New Roman" w:hAnsi="Times New Roman"/>
                <w:sz w:val="22"/>
                <w:szCs w:val="22"/>
              </w:rPr>
            </w:pPr>
            <w:r>
              <w:rPr>
                <w:rFonts w:ascii="Times New Roman" w:hAnsi="Times New Roman"/>
                <w:sz w:val="22"/>
                <w:szCs w:val="22"/>
              </w:rPr>
              <w:t>1221</w:t>
            </w:r>
            <w:r w:rsidRPr="00684646">
              <w:rPr>
                <w:rFonts w:ascii="Times New Roman" w:hAnsi="Times New Roman"/>
                <w:sz w:val="22"/>
                <w:szCs w:val="22"/>
              </w:rPr>
              <w:t>/2018</w:t>
            </w:r>
          </w:p>
        </w:tc>
      </w:tr>
      <w:tr w:rsidR="00E740AA" w:rsidRPr="00684646" w:rsidTr="00E740A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E740AA" w:rsidRPr="00684646" w:rsidRDefault="00E740AA" w:rsidP="005F736C">
            <w:pPr>
              <w:tabs>
                <w:tab w:val="left" w:pos="1418"/>
              </w:tabs>
              <w:rPr>
                <w:rFonts w:ascii="Times New Roman" w:hAnsi="Times New Roman"/>
                <w:sz w:val="22"/>
                <w:szCs w:val="22"/>
              </w:rPr>
            </w:pPr>
            <w:r w:rsidRPr="00684646">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E740AA" w:rsidRPr="00E740AA" w:rsidRDefault="00E740AA" w:rsidP="005F736C">
            <w:pPr>
              <w:tabs>
                <w:tab w:val="left" w:pos="1418"/>
              </w:tabs>
              <w:rPr>
                <w:rFonts w:ascii="Times New Roman" w:hAnsi="Times New Roman"/>
                <w:sz w:val="22"/>
                <w:szCs w:val="22"/>
              </w:rPr>
            </w:pPr>
            <w:r w:rsidRPr="00E740AA">
              <w:rPr>
                <w:rFonts w:ascii="Times New Roman" w:hAnsi="Times New Roman"/>
                <w:sz w:val="22"/>
                <w:szCs w:val="22"/>
              </w:rPr>
              <w:t>Arq. Urb. HELEN GULARTE CABRAL</w:t>
            </w:r>
          </w:p>
          <w:p w:rsidR="00E740AA" w:rsidRPr="00E740AA" w:rsidRDefault="00E740AA" w:rsidP="005F736C">
            <w:pPr>
              <w:tabs>
                <w:tab w:val="left" w:pos="1418"/>
              </w:tabs>
              <w:rPr>
                <w:rFonts w:ascii="Times New Roman" w:hAnsi="Times New Roman"/>
                <w:sz w:val="22"/>
                <w:szCs w:val="22"/>
              </w:rPr>
            </w:pPr>
            <w:r w:rsidRPr="00E740AA">
              <w:rPr>
                <w:rFonts w:ascii="Times New Roman" w:hAnsi="Times New Roman"/>
                <w:sz w:val="22"/>
                <w:szCs w:val="22"/>
              </w:rPr>
              <w:t>CPF 009.083.840-84</w:t>
            </w:r>
          </w:p>
        </w:tc>
      </w:tr>
      <w:tr w:rsidR="00E740AA" w:rsidRPr="00684646" w:rsidTr="00E740A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E740AA" w:rsidRPr="00684646" w:rsidRDefault="00E740AA" w:rsidP="005F736C">
            <w:pPr>
              <w:tabs>
                <w:tab w:val="left" w:pos="1418"/>
              </w:tabs>
              <w:rPr>
                <w:rFonts w:ascii="Times New Roman" w:hAnsi="Times New Roman"/>
                <w:sz w:val="22"/>
                <w:szCs w:val="22"/>
              </w:rPr>
            </w:pPr>
            <w:r w:rsidRPr="00684646">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E740AA" w:rsidRPr="00684646" w:rsidRDefault="00E740AA" w:rsidP="005F736C">
            <w:pPr>
              <w:tabs>
                <w:tab w:val="left" w:pos="1418"/>
              </w:tabs>
              <w:rPr>
                <w:rFonts w:ascii="Times New Roman" w:hAnsi="Times New Roman"/>
                <w:sz w:val="22"/>
                <w:szCs w:val="22"/>
              </w:rPr>
            </w:pPr>
            <w:r w:rsidRPr="00684646">
              <w:rPr>
                <w:rFonts w:ascii="Times New Roman" w:hAnsi="Times New Roman"/>
                <w:sz w:val="22"/>
                <w:szCs w:val="22"/>
              </w:rPr>
              <w:t>COBRANÇA DE ANUIDADE.</w:t>
            </w:r>
          </w:p>
        </w:tc>
      </w:tr>
      <w:tr w:rsidR="00E740AA" w:rsidRPr="00684646" w:rsidTr="00E740A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E740AA" w:rsidRPr="00684646" w:rsidRDefault="00E740AA" w:rsidP="005F736C">
            <w:pPr>
              <w:tabs>
                <w:tab w:val="left" w:pos="1418"/>
              </w:tabs>
              <w:rPr>
                <w:rFonts w:ascii="Times New Roman" w:hAnsi="Times New Roman"/>
                <w:sz w:val="22"/>
                <w:szCs w:val="22"/>
              </w:rPr>
            </w:pPr>
            <w:r w:rsidRPr="00684646">
              <w:rPr>
                <w:rFonts w:ascii="Times New Roman" w:hAnsi="Times New Roman"/>
                <w:sz w:val="22"/>
                <w:szCs w:val="22"/>
              </w:rPr>
              <w:t>RELATOR(A)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E740AA" w:rsidRPr="00684646" w:rsidRDefault="00E740AA" w:rsidP="00E740AA">
            <w:pPr>
              <w:tabs>
                <w:tab w:val="left" w:pos="1418"/>
              </w:tabs>
              <w:rPr>
                <w:rFonts w:ascii="Times New Roman" w:hAnsi="Times New Roman"/>
                <w:sz w:val="22"/>
                <w:szCs w:val="22"/>
              </w:rPr>
            </w:pPr>
            <w:r w:rsidRPr="00684646">
              <w:rPr>
                <w:rFonts w:ascii="Times New Roman" w:hAnsi="Times New Roman"/>
                <w:sz w:val="22"/>
                <w:szCs w:val="22"/>
              </w:rPr>
              <w:t xml:space="preserve">CONSELHEIRO(A) </w:t>
            </w:r>
            <w:r>
              <w:rPr>
                <w:rFonts w:ascii="Times New Roman" w:hAnsi="Times New Roman"/>
                <w:sz w:val="22"/>
                <w:szCs w:val="22"/>
              </w:rPr>
              <w:t>RAQUEL RHODEN BRESOLIN</w:t>
            </w:r>
          </w:p>
        </w:tc>
      </w:tr>
      <w:tr w:rsidR="00684646" w:rsidRPr="00684646" w:rsidTr="00B65E60">
        <w:trPr>
          <w:gridAfter w:val="1"/>
          <w:wAfter w:w="216" w:type="dxa"/>
          <w:trHeight w:val="537"/>
        </w:trPr>
        <w:tc>
          <w:tcPr>
            <w:tcW w:w="8787" w:type="dxa"/>
            <w:gridSpan w:val="2"/>
            <w:tcBorders>
              <w:top w:val="single" w:sz="12" w:space="0" w:color="808080"/>
              <w:left w:val="nil"/>
              <w:bottom w:val="single" w:sz="12" w:space="0" w:color="808080"/>
              <w:right w:val="nil"/>
            </w:tcBorders>
            <w:shd w:val="pct5" w:color="auto" w:fill="auto"/>
            <w:vAlign w:val="center"/>
          </w:tcPr>
          <w:p w:rsidR="00684646" w:rsidRPr="00684646" w:rsidRDefault="001872EA" w:rsidP="00E740AA">
            <w:pPr>
              <w:tabs>
                <w:tab w:val="left" w:pos="1418"/>
              </w:tabs>
              <w:jc w:val="center"/>
              <w:rPr>
                <w:rFonts w:ascii="Times New Roman" w:hAnsi="Times New Roman"/>
                <w:sz w:val="22"/>
                <w:szCs w:val="22"/>
              </w:rPr>
            </w:pPr>
            <w:r>
              <w:rPr>
                <w:rFonts w:ascii="Times New Roman" w:hAnsi="Times New Roman"/>
                <w:b/>
                <w:sz w:val="22"/>
                <w:szCs w:val="22"/>
              </w:rPr>
              <w:t>DELIBERAÇÃO Nº 008</w:t>
            </w:r>
            <w:bookmarkStart w:id="0" w:name="_GoBack"/>
            <w:bookmarkEnd w:id="0"/>
            <w:r w:rsidR="00684646" w:rsidRPr="00684646">
              <w:rPr>
                <w:rFonts w:ascii="Times New Roman" w:hAnsi="Times New Roman"/>
                <w:b/>
                <w:sz w:val="22"/>
                <w:szCs w:val="22"/>
              </w:rPr>
              <w:t>/201</w:t>
            </w:r>
            <w:r w:rsidR="00E740AA">
              <w:rPr>
                <w:rFonts w:ascii="Times New Roman" w:hAnsi="Times New Roman"/>
                <w:b/>
                <w:sz w:val="22"/>
                <w:szCs w:val="22"/>
              </w:rPr>
              <w:t>9</w:t>
            </w:r>
            <w:r w:rsidR="00684646" w:rsidRPr="00684646">
              <w:rPr>
                <w:rFonts w:ascii="Times New Roman" w:hAnsi="Times New Roman"/>
                <w:b/>
                <w:sz w:val="22"/>
                <w:szCs w:val="22"/>
              </w:rPr>
              <w:t xml:space="preserve"> – CPF – CAU/RS</w:t>
            </w:r>
          </w:p>
        </w:tc>
      </w:tr>
    </w:tbl>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sz w:val="22"/>
          <w:szCs w:val="22"/>
        </w:rPr>
        <w:t xml:space="preserve">A COMISSÃO DE PLANEJAMENTO E FINANÇAS CPF-CAU/RS, reunida ordinariamente em Porto Alegre/RS, na sede do CAU/RS, no dia </w:t>
      </w:r>
      <w:r w:rsidR="00F144D3">
        <w:rPr>
          <w:rFonts w:ascii="Times New Roman" w:hAnsi="Times New Roman"/>
          <w:sz w:val="22"/>
          <w:szCs w:val="22"/>
        </w:rPr>
        <w:t>29</w:t>
      </w:r>
      <w:r w:rsidRPr="00684646">
        <w:rPr>
          <w:rFonts w:ascii="Times New Roman" w:hAnsi="Times New Roman"/>
          <w:sz w:val="22"/>
          <w:szCs w:val="22"/>
        </w:rPr>
        <w:t xml:space="preserve"> </w:t>
      </w:r>
      <w:r w:rsidRPr="00684646">
        <w:rPr>
          <w:rFonts w:ascii="Times New Roman" w:eastAsia="Calibri" w:hAnsi="Times New Roman"/>
          <w:sz w:val="22"/>
          <w:szCs w:val="22"/>
        </w:rPr>
        <w:t xml:space="preserve">de </w:t>
      </w:r>
      <w:r w:rsidR="00E740AA">
        <w:rPr>
          <w:rFonts w:ascii="Times New Roman" w:eastAsia="Calibri" w:hAnsi="Times New Roman"/>
          <w:sz w:val="22"/>
          <w:szCs w:val="22"/>
        </w:rPr>
        <w:t>janeiro de 2019</w:t>
      </w:r>
      <w:r w:rsidRPr="00684646">
        <w:rPr>
          <w:rFonts w:ascii="Times New Roman" w:hAnsi="Times New Roman"/>
          <w:sz w:val="22"/>
          <w:szCs w:val="22"/>
        </w:rPr>
        <w:t>, no uso das competências que lhe confere o artigo 97, incisos VIII e IX, do Regimento Interno do CAU/RS, a Deliberação CPF-CAU/RS nº 035/2016 e, ainda, observando a Deliberação Plenária CAU/RS nº 514/2016, após análise do assunto em epígrafe, e,</w:t>
      </w:r>
    </w:p>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sz w:val="22"/>
          <w:szCs w:val="22"/>
        </w:rPr>
        <w:t>Considerando o parecer e o voto elaborados pelo(a) Conselheiro(a) Relator(a) do processo,</w:t>
      </w:r>
    </w:p>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b/>
          <w:sz w:val="22"/>
          <w:szCs w:val="22"/>
        </w:rPr>
        <w:t>DELIBEROU</w:t>
      </w:r>
      <w:r w:rsidRPr="00684646">
        <w:rPr>
          <w:rFonts w:ascii="Times New Roman" w:hAnsi="Times New Roman"/>
          <w:sz w:val="22"/>
          <w:szCs w:val="22"/>
        </w:rPr>
        <w:t xml:space="preserve"> por:</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Aprovar</w:t>
      </w:r>
      <w:r w:rsidRPr="00684646">
        <w:rPr>
          <w:rFonts w:ascii="Times New Roman" w:hAnsi="Times New Roman"/>
          <w:sz w:val="22"/>
          <w:szCs w:val="22"/>
        </w:rPr>
        <w:t xml:space="preserve"> o parecer do(a) Conselheiro(a) Relator(a), pela </w:t>
      </w:r>
      <w:r w:rsidR="00A63533" w:rsidRPr="00684646">
        <w:rPr>
          <w:rFonts w:ascii="Times New Roman" w:hAnsi="Times New Roman"/>
          <w:b/>
          <w:sz w:val="22"/>
          <w:szCs w:val="22"/>
        </w:rPr>
        <w:t>improcedência</w:t>
      </w:r>
      <w:r w:rsidR="00A63533" w:rsidRPr="00684646">
        <w:rPr>
          <w:rFonts w:ascii="Times New Roman" w:hAnsi="Times New Roman"/>
          <w:sz w:val="22"/>
          <w:szCs w:val="22"/>
        </w:rPr>
        <w:t xml:space="preserve"> da impugnação oferecida pel</w:t>
      </w:r>
      <w:r w:rsidR="00A63533">
        <w:rPr>
          <w:rFonts w:ascii="Times New Roman" w:hAnsi="Times New Roman"/>
          <w:sz w:val="22"/>
          <w:szCs w:val="22"/>
        </w:rPr>
        <w:t>a</w:t>
      </w:r>
      <w:r w:rsidR="00A63533" w:rsidRPr="00684646">
        <w:rPr>
          <w:rFonts w:ascii="Times New Roman" w:hAnsi="Times New Roman"/>
          <w:sz w:val="22"/>
          <w:szCs w:val="22"/>
        </w:rPr>
        <w:t xml:space="preserve"> Arquitet</w:t>
      </w:r>
      <w:r w:rsidR="00A63533">
        <w:rPr>
          <w:rFonts w:ascii="Times New Roman" w:hAnsi="Times New Roman"/>
          <w:sz w:val="22"/>
          <w:szCs w:val="22"/>
        </w:rPr>
        <w:t>a</w:t>
      </w:r>
      <w:r w:rsidR="00A63533" w:rsidRPr="00684646">
        <w:rPr>
          <w:rFonts w:ascii="Times New Roman" w:hAnsi="Times New Roman"/>
          <w:sz w:val="22"/>
          <w:szCs w:val="22"/>
        </w:rPr>
        <w:t xml:space="preserve"> e Urbanista </w:t>
      </w:r>
      <w:r w:rsidR="00A63533" w:rsidRPr="00E740AA">
        <w:rPr>
          <w:rFonts w:ascii="Times New Roman" w:hAnsi="Times New Roman"/>
          <w:sz w:val="22"/>
          <w:szCs w:val="22"/>
        </w:rPr>
        <w:t>HELEN GULARTE CABRAL</w:t>
      </w:r>
      <w:r w:rsidR="00A63533" w:rsidRPr="00684646">
        <w:rPr>
          <w:rFonts w:ascii="Times New Roman" w:eastAsia="Calibri" w:hAnsi="Times New Roman"/>
          <w:sz w:val="22"/>
          <w:szCs w:val="22"/>
        </w:rPr>
        <w:t xml:space="preserve"> – CPF </w:t>
      </w:r>
      <w:r w:rsidR="00A63533" w:rsidRPr="00E740AA">
        <w:rPr>
          <w:rFonts w:ascii="Times New Roman" w:hAnsi="Times New Roman"/>
          <w:sz w:val="22"/>
          <w:szCs w:val="22"/>
        </w:rPr>
        <w:t>009.083.840-84</w:t>
      </w:r>
      <w:r w:rsidR="00A63533" w:rsidRPr="00684646">
        <w:rPr>
          <w:rFonts w:ascii="Times New Roman" w:hAnsi="Times New Roman"/>
          <w:sz w:val="22"/>
          <w:szCs w:val="22"/>
        </w:rPr>
        <w:t>, com o fim de, com base nos elementos probatórios existentes nos autos, manter o débito relativo às anuidades de 2014, 2015, 2016 e 2017, visto que ausente solicitação de baixa de registro, a qual constitui ato voluntário do profissional e que, nos termos do Art. 5º da Lei nº 12.514/2011, o fato gerador das anuidades é a existência de inscrição no Conselho, bem como pelo fato de que a alegada</w:t>
      </w:r>
      <w:r w:rsidR="00A63533">
        <w:rPr>
          <w:rFonts w:ascii="Times New Roman" w:hAnsi="Times New Roman"/>
          <w:sz w:val="22"/>
          <w:szCs w:val="22"/>
        </w:rPr>
        <w:t xml:space="preserve"> docência</w:t>
      </w:r>
      <w:r w:rsidR="00A63533" w:rsidRPr="00684646">
        <w:rPr>
          <w:rFonts w:ascii="Times New Roman" w:hAnsi="Times New Roman"/>
          <w:sz w:val="22"/>
          <w:szCs w:val="22"/>
        </w:rPr>
        <w:t>, por si só, não cessa o fato gerador das anuidades</w:t>
      </w:r>
      <w:r w:rsidRPr="00684646">
        <w:rPr>
          <w:rFonts w:ascii="Times New Roman" w:hAnsi="Times New Roman"/>
          <w:sz w:val="22"/>
          <w:szCs w:val="22"/>
        </w:rPr>
        <w:t>.</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à Gerência Financeira para </w:t>
      </w:r>
      <w:r w:rsidRPr="00684646">
        <w:rPr>
          <w:rFonts w:ascii="Times New Roman" w:hAnsi="Times New Roman"/>
          <w:b/>
          <w:sz w:val="22"/>
          <w:szCs w:val="22"/>
        </w:rPr>
        <w:t>notificar</w:t>
      </w:r>
      <w:r w:rsidRPr="00684646">
        <w:rPr>
          <w:rFonts w:ascii="Times New Roman" w:hAnsi="Times New Roman"/>
          <w:sz w:val="22"/>
          <w:szCs w:val="22"/>
        </w:rPr>
        <w:t xml:space="preserve"> a parte interessada do teor dessa decisão a, querendo, no prazo de 30 (trinta) dias, pagar o valor devido, podendo optar pelo parcelamento do débito nos termos da legislação vigente, ou para interpor recurso por escrito ao Plenário do CAU/RS.</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à Gerência Jurídica do CAU/RS para parecer em caso de interposição de recurso ao Plenário do CAU/RS.</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Submeter</w:t>
      </w:r>
      <w:r w:rsidRPr="00684646">
        <w:rPr>
          <w:rFonts w:ascii="Times New Roman" w:hAnsi="Times New Roman"/>
          <w:sz w:val="22"/>
          <w:szCs w:val="22"/>
        </w:rPr>
        <w:t xml:space="preserve"> ao Plenário do CAU/RS para que proceda ao julgamento do recurso, que porventura venha a ser interposto.</w:t>
      </w:r>
    </w:p>
    <w:p w:rsidR="00684646" w:rsidRPr="00684646" w:rsidRDefault="00684646" w:rsidP="00684646">
      <w:pPr>
        <w:pStyle w:val="PargrafodaLista"/>
        <w:numPr>
          <w:ilvl w:val="0"/>
          <w:numId w:val="30"/>
        </w:numPr>
        <w:spacing w:before="120" w:after="120"/>
        <w:ind w:left="284" w:hanging="284"/>
        <w:jc w:val="both"/>
        <w:rPr>
          <w:rFonts w:ascii="Times New Roman" w:eastAsia="Calibri"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após o julgamento efetuado pelo Plenário do CAU/RS de eventual recurso, à Gerência Financeira para </w:t>
      </w:r>
      <w:r w:rsidRPr="00684646">
        <w:rPr>
          <w:rFonts w:ascii="Times New Roman" w:hAnsi="Times New Roman"/>
          <w:b/>
          <w:sz w:val="22"/>
          <w:szCs w:val="22"/>
        </w:rPr>
        <w:t>notificar</w:t>
      </w:r>
      <w:r w:rsidRPr="00684646">
        <w:rPr>
          <w:rFonts w:ascii="Times New Roman" w:hAnsi="Times New Roman"/>
          <w:sz w:val="22"/>
          <w:szCs w:val="22"/>
        </w:rPr>
        <w:t xml:space="preserve"> a parte interessada do teor da decisão.</w:t>
      </w:r>
      <w:r w:rsidRPr="00684646">
        <w:rPr>
          <w:rFonts w:ascii="Times New Roman" w:eastAsia="Calibri" w:hAnsi="Times New Roman"/>
          <w:sz w:val="22"/>
          <w:szCs w:val="22"/>
        </w:rPr>
        <w:t xml:space="preserve"> </w:t>
      </w:r>
    </w:p>
    <w:p w:rsidR="00684646" w:rsidRPr="00684646" w:rsidRDefault="00684646" w:rsidP="00F144D3">
      <w:pPr>
        <w:tabs>
          <w:tab w:val="left" w:pos="1418"/>
        </w:tabs>
        <w:spacing w:before="120" w:after="120"/>
        <w:rPr>
          <w:rFonts w:ascii="Times New Roman" w:eastAsia="Calibri" w:hAnsi="Times New Roman"/>
          <w:sz w:val="22"/>
          <w:szCs w:val="22"/>
        </w:rPr>
      </w:pPr>
    </w:p>
    <w:p w:rsidR="005C67A7" w:rsidRPr="00684646" w:rsidRDefault="00684646" w:rsidP="00F144D3">
      <w:pPr>
        <w:tabs>
          <w:tab w:val="left" w:pos="1418"/>
        </w:tabs>
        <w:spacing w:before="120" w:after="120"/>
        <w:jc w:val="center"/>
        <w:rPr>
          <w:rFonts w:ascii="Times New Roman" w:hAnsi="Times New Roman"/>
          <w:sz w:val="22"/>
          <w:szCs w:val="22"/>
        </w:rPr>
      </w:pPr>
      <w:r w:rsidRPr="00684646">
        <w:rPr>
          <w:rFonts w:ascii="Times New Roman" w:eastAsia="Calibri" w:hAnsi="Times New Roman"/>
          <w:sz w:val="22"/>
          <w:szCs w:val="22"/>
        </w:rPr>
        <w:t xml:space="preserve">Porto Alegre, </w:t>
      </w:r>
      <w:r w:rsidR="00F144D3">
        <w:rPr>
          <w:rFonts w:ascii="Times New Roman" w:eastAsia="Calibri" w:hAnsi="Times New Roman"/>
          <w:sz w:val="22"/>
          <w:szCs w:val="22"/>
        </w:rPr>
        <w:t>29</w:t>
      </w:r>
      <w:r w:rsidRPr="00684646">
        <w:rPr>
          <w:rFonts w:ascii="Times New Roman" w:eastAsia="Calibri" w:hAnsi="Times New Roman"/>
          <w:sz w:val="22"/>
          <w:szCs w:val="22"/>
        </w:rPr>
        <w:t xml:space="preserve"> de </w:t>
      </w:r>
      <w:r w:rsidR="00C80CEE">
        <w:rPr>
          <w:rFonts w:ascii="Times New Roman" w:eastAsia="Calibri" w:hAnsi="Times New Roman"/>
          <w:sz w:val="22"/>
          <w:szCs w:val="22"/>
        </w:rPr>
        <w:t>janeiro</w:t>
      </w:r>
      <w:r w:rsidRPr="00684646">
        <w:rPr>
          <w:rFonts w:ascii="Times New Roman" w:eastAsia="Calibri" w:hAnsi="Times New Roman"/>
          <w:sz w:val="22"/>
          <w:szCs w:val="22"/>
        </w:rPr>
        <w:t xml:space="preserve"> de 201</w:t>
      </w:r>
      <w:r w:rsidR="00C80CEE">
        <w:rPr>
          <w:rFonts w:ascii="Times New Roman" w:eastAsia="Calibri" w:hAnsi="Times New Roman"/>
          <w:sz w:val="22"/>
          <w:szCs w:val="22"/>
        </w:rPr>
        <w:t>9</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b/>
                <w:sz w:val="22"/>
                <w:szCs w:val="22"/>
              </w:rPr>
              <w:t>ALVINO JARA</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b/>
                <w:sz w:val="22"/>
                <w:szCs w:val="22"/>
              </w:rPr>
            </w:pPr>
            <w:r w:rsidRPr="00684646">
              <w:rPr>
                <w:rFonts w:ascii="Times New Roman" w:hAnsi="Times New Roman"/>
                <w:b/>
                <w:sz w:val="22"/>
                <w:szCs w:val="22"/>
              </w:rPr>
              <w:t>RAQUEL RHODEN BRESOLIN</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b/>
                <w:sz w:val="22"/>
                <w:szCs w:val="22"/>
              </w:rPr>
              <w:t>EMILIO MERINO DOMINGUEZ</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 – Suplente</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bl>
    <w:p w:rsidR="00A56089" w:rsidRPr="00684646" w:rsidRDefault="00A56089" w:rsidP="00C80CEE">
      <w:pPr>
        <w:pStyle w:val="PargrafodaLista"/>
        <w:tabs>
          <w:tab w:val="left" w:pos="1418"/>
        </w:tabs>
        <w:spacing w:before="120" w:after="120"/>
        <w:ind w:left="0"/>
        <w:jc w:val="both"/>
        <w:rPr>
          <w:rFonts w:ascii="Times New Roman" w:hAnsi="Times New Roman"/>
          <w:sz w:val="22"/>
          <w:szCs w:val="22"/>
        </w:rPr>
      </w:pPr>
    </w:p>
    <w:sectPr w:rsidR="00A56089" w:rsidRPr="00684646"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01A" w:rsidRDefault="0064501A">
      <w:r>
        <w:separator/>
      </w:r>
    </w:p>
  </w:endnote>
  <w:endnote w:type="continuationSeparator" w:id="0">
    <w:p w:rsidR="0064501A" w:rsidRDefault="0064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01A" w:rsidRDefault="0064501A">
      <w:r>
        <w:separator/>
      </w:r>
    </w:p>
  </w:footnote>
  <w:footnote w:type="continuationSeparator" w:id="0">
    <w:p w:rsidR="0064501A" w:rsidRDefault="00645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3B2D"/>
    <w:rsid w:val="0001455E"/>
    <w:rsid w:val="000154E1"/>
    <w:rsid w:val="00016BA5"/>
    <w:rsid w:val="00020281"/>
    <w:rsid w:val="00025F8F"/>
    <w:rsid w:val="00036DE6"/>
    <w:rsid w:val="00037053"/>
    <w:rsid w:val="0004084C"/>
    <w:rsid w:val="0004369C"/>
    <w:rsid w:val="000445A9"/>
    <w:rsid w:val="000458AD"/>
    <w:rsid w:val="00047D8A"/>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A723B"/>
    <w:rsid w:val="000B007B"/>
    <w:rsid w:val="000B3250"/>
    <w:rsid w:val="000B5769"/>
    <w:rsid w:val="000C2840"/>
    <w:rsid w:val="000D2C40"/>
    <w:rsid w:val="000D5AF8"/>
    <w:rsid w:val="000E28C9"/>
    <w:rsid w:val="000E71D0"/>
    <w:rsid w:val="000F0649"/>
    <w:rsid w:val="00102810"/>
    <w:rsid w:val="001039CF"/>
    <w:rsid w:val="0010535E"/>
    <w:rsid w:val="001056AB"/>
    <w:rsid w:val="001100E4"/>
    <w:rsid w:val="001136C6"/>
    <w:rsid w:val="00115D3A"/>
    <w:rsid w:val="00121F68"/>
    <w:rsid w:val="00122FC3"/>
    <w:rsid w:val="00123042"/>
    <w:rsid w:val="0012402E"/>
    <w:rsid w:val="00133392"/>
    <w:rsid w:val="00135520"/>
    <w:rsid w:val="00135590"/>
    <w:rsid w:val="00135DA7"/>
    <w:rsid w:val="00143590"/>
    <w:rsid w:val="00145005"/>
    <w:rsid w:val="001511C9"/>
    <w:rsid w:val="00153789"/>
    <w:rsid w:val="00153E55"/>
    <w:rsid w:val="00164301"/>
    <w:rsid w:val="0016484D"/>
    <w:rsid w:val="0016670A"/>
    <w:rsid w:val="00167E7E"/>
    <w:rsid w:val="0017061E"/>
    <w:rsid w:val="00170C7D"/>
    <w:rsid w:val="00171DE2"/>
    <w:rsid w:val="00173D2E"/>
    <w:rsid w:val="00174940"/>
    <w:rsid w:val="00174D55"/>
    <w:rsid w:val="00180166"/>
    <w:rsid w:val="001812D1"/>
    <w:rsid w:val="00181A85"/>
    <w:rsid w:val="001820E5"/>
    <w:rsid w:val="00183A48"/>
    <w:rsid w:val="00186526"/>
    <w:rsid w:val="0018655C"/>
    <w:rsid w:val="001872EA"/>
    <w:rsid w:val="0019362F"/>
    <w:rsid w:val="00193EE5"/>
    <w:rsid w:val="00197A85"/>
    <w:rsid w:val="001A0563"/>
    <w:rsid w:val="001A3726"/>
    <w:rsid w:val="001B5217"/>
    <w:rsid w:val="001D1939"/>
    <w:rsid w:val="001D363B"/>
    <w:rsid w:val="001D3CDB"/>
    <w:rsid w:val="001D558E"/>
    <w:rsid w:val="001D6201"/>
    <w:rsid w:val="001D7808"/>
    <w:rsid w:val="001E15D4"/>
    <w:rsid w:val="001E1B9B"/>
    <w:rsid w:val="001E2E6C"/>
    <w:rsid w:val="001F2DC5"/>
    <w:rsid w:val="001F3A48"/>
    <w:rsid w:val="001F6102"/>
    <w:rsid w:val="001F7F5F"/>
    <w:rsid w:val="0020186A"/>
    <w:rsid w:val="0020681B"/>
    <w:rsid w:val="00207874"/>
    <w:rsid w:val="00210ED2"/>
    <w:rsid w:val="00213BFB"/>
    <w:rsid w:val="002149F5"/>
    <w:rsid w:val="002162ED"/>
    <w:rsid w:val="00223BED"/>
    <w:rsid w:val="002253D8"/>
    <w:rsid w:val="00232EC7"/>
    <w:rsid w:val="00233635"/>
    <w:rsid w:val="002360AE"/>
    <w:rsid w:val="00244EF0"/>
    <w:rsid w:val="002536F2"/>
    <w:rsid w:val="00254069"/>
    <w:rsid w:val="00254F9E"/>
    <w:rsid w:val="00262588"/>
    <w:rsid w:val="00262BE0"/>
    <w:rsid w:val="0026476A"/>
    <w:rsid w:val="002667E2"/>
    <w:rsid w:val="00271145"/>
    <w:rsid w:val="00271AFB"/>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64C2"/>
    <w:rsid w:val="002F3569"/>
    <w:rsid w:val="003039EF"/>
    <w:rsid w:val="00305DC6"/>
    <w:rsid w:val="003062AB"/>
    <w:rsid w:val="0030724A"/>
    <w:rsid w:val="003102E1"/>
    <w:rsid w:val="00311BF5"/>
    <w:rsid w:val="00321659"/>
    <w:rsid w:val="0032225C"/>
    <w:rsid w:val="003241C2"/>
    <w:rsid w:val="0032536C"/>
    <w:rsid w:val="00325C00"/>
    <w:rsid w:val="00325EF1"/>
    <w:rsid w:val="00336E10"/>
    <w:rsid w:val="00340503"/>
    <w:rsid w:val="00343041"/>
    <w:rsid w:val="003505E4"/>
    <w:rsid w:val="00351EB8"/>
    <w:rsid w:val="00352307"/>
    <w:rsid w:val="00353C04"/>
    <w:rsid w:val="00354060"/>
    <w:rsid w:val="00354E22"/>
    <w:rsid w:val="00355E15"/>
    <w:rsid w:val="00356BEC"/>
    <w:rsid w:val="003572DF"/>
    <w:rsid w:val="0035736D"/>
    <w:rsid w:val="0035753C"/>
    <w:rsid w:val="003652C0"/>
    <w:rsid w:val="0036644B"/>
    <w:rsid w:val="00374516"/>
    <w:rsid w:val="0037561A"/>
    <w:rsid w:val="0038038E"/>
    <w:rsid w:val="00381432"/>
    <w:rsid w:val="00384730"/>
    <w:rsid w:val="00385DA6"/>
    <w:rsid w:val="0038654D"/>
    <w:rsid w:val="0039127B"/>
    <w:rsid w:val="003935FA"/>
    <w:rsid w:val="00395EB0"/>
    <w:rsid w:val="003962EC"/>
    <w:rsid w:val="0039662E"/>
    <w:rsid w:val="00397776"/>
    <w:rsid w:val="003978A0"/>
    <w:rsid w:val="003A4C16"/>
    <w:rsid w:val="003A7C3C"/>
    <w:rsid w:val="003B53CC"/>
    <w:rsid w:val="003B5F22"/>
    <w:rsid w:val="003B7099"/>
    <w:rsid w:val="003C0E1D"/>
    <w:rsid w:val="003C14B4"/>
    <w:rsid w:val="003C2B08"/>
    <w:rsid w:val="003C3513"/>
    <w:rsid w:val="003D0637"/>
    <w:rsid w:val="003D21C7"/>
    <w:rsid w:val="003D58E4"/>
    <w:rsid w:val="003E419B"/>
    <w:rsid w:val="003E5BAF"/>
    <w:rsid w:val="003E64C7"/>
    <w:rsid w:val="003F0B6D"/>
    <w:rsid w:val="003F0B7F"/>
    <w:rsid w:val="003F0BCE"/>
    <w:rsid w:val="003F12A5"/>
    <w:rsid w:val="003F3074"/>
    <w:rsid w:val="003F5F95"/>
    <w:rsid w:val="00403559"/>
    <w:rsid w:val="004052D8"/>
    <w:rsid w:val="00410116"/>
    <w:rsid w:val="004105B1"/>
    <w:rsid w:val="004130E0"/>
    <w:rsid w:val="00413CC6"/>
    <w:rsid w:val="00413E0E"/>
    <w:rsid w:val="00420432"/>
    <w:rsid w:val="004206CC"/>
    <w:rsid w:val="0042076A"/>
    <w:rsid w:val="0042176A"/>
    <w:rsid w:val="004319B2"/>
    <w:rsid w:val="00432A96"/>
    <w:rsid w:val="004336AD"/>
    <w:rsid w:val="00434379"/>
    <w:rsid w:val="004359A2"/>
    <w:rsid w:val="0045317D"/>
    <w:rsid w:val="00454BD4"/>
    <w:rsid w:val="00456608"/>
    <w:rsid w:val="00460F8E"/>
    <w:rsid w:val="00463595"/>
    <w:rsid w:val="004651A4"/>
    <w:rsid w:val="00465CC0"/>
    <w:rsid w:val="00465D4C"/>
    <w:rsid w:val="00470F15"/>
    <w:rsid w:val="00472935"/>
    <w:rsid w:val="00475C9B"/>
    <w:rsid w:val="00480E50"/>
    <w:rsid w:val="00481D1A"/>
    <w:rsid w:val="00482449"/>
    <w:rsid w:val="00485F6A"/>
    <w:rsid w:val="00493551"/>
    <w:rsid w:val="00493C92"/>
    <w:rsid w:val="004A023D"/>
    <w:rsid w:val="004A1B77"/>
    <w:rsid w:val="004A24B4"/>
    <w:rsid w:val="004A3331"/>
    <w:rsid w:val="004A610C"/>
    <w:rsid w:val="004A7628"/>
    <w:rsid w:val="004A7F6A"/>
    <w:rsid w:val="004B0ACB"/>
    <w:rsid w:val="004B32EE"/>
    <w:rsid w:val="004B3D0C"/>
    <w:rsid w:val="004B6DCD"/>
    <w:rsid w:val="004C1E9A"/>
    <w:rsid w:val="004C1F38"/>
    <w:rsid w:val="004C52FB"/>
    <w:rsid w:val="004C5641"/>
    <w:rsid w:val="004C763A"/>
    <w:rsid w:val="004D351A"/>
    <w:rsid w:val="004D5132"/>
    <w:rsid w:val="004D66ED"/>
    <w:rsid w:val="004E3809"/>
    <w:rsid w:val="004E3F1C"/>
    <w:rsid w:val="004E52A1"/>
    <w:rsid w:val="004F0094"/>
    <w:rsid w:val="004F25C8"/>
    <w:rsid w:val="004F2EA5"/>
    <w:rsid w:val="004F56E7"/>
    <w:rsid w:val="004F59DE"/>
    <w:rsid w:val="004F6A99"/>
    <w:rsid w:val="00501A9E"/>
    <w:rsid w:val="0050553E"/>
    <w:rsid w:val="00506C55"/>
    <w:rsid w:val="00521EDA"/>
    <w:rsid w:val="005260F0"/>
    <w:rsid w:val="005265EB"/>
    <w:rsid w:val="00527588"/>
    <w:rsid w:val="00530C1E"/>
    <w:rsid w:val="00531AF5"/>
    <w:rsid w:val="005340D4"/>
    <w:rsid w:val="00540186"/>
    <w:rsid w:val="00545E80"/>
    <w:rsid w:val="00546E37"/>
    <w:rsid w:val="00546EA2"/>
    <w:rsid w:val="00547AD1"/>
    <w:rsid w:val="0055186E"/>
    <w:rsid w:val="00551B24"/>
    <w:rsid w:val="005534F0"/>
    <w:rsid w:val="00553B02"/>
    <w:rsid w:val="005549EE"/>
    <w:rsid w:val="005551F7"/>
    <w:rsid w:val="00555AEB"/>
    <w:rsid w:val="00556541"/>
    <w:rsid w:val="00560B9E"/>
    <w:rsid w:val="00566358"/>
    <w:rsid w:val="00566886"/>
    <w:rsid w:val="00567FF5"/>
    <w:rsid w:val="00576989"/>
    <w:rsid w:val="00577FFA"/>
    <w:rsid w:val="00583D03"/>
    <w:rsid w:val="005872F2"/>
    <w:rsid w:val="005877BA"/>
    <w:rsid w:val="005906A2"/>
    <w:rsid w:val="00590F8B"/>
    <w:rsid w:val="00594398"/>
    <w:rsid w:val="00596C67"/>
    <w:rsid w:val="00597495"/>
    <w:rsid w:val="00597FF7"/>
    <w:rsid w:val="005A0C8C"/>
    <w:rsid w:val="005A3297"/>
    <w:rsid w:val="005A4C74"/>
    <w:rsid w:val="005A7396"/>
    <w:rsid w:val="005B31AF"/>
    <w:rsid w:val="005B33FC"/>
    <w:rsid w:val="005B4A9B"/>
    <w:rsid w:val="005B5C6B"/>
    <w:rsid w:val="005C062C"/>
    <w:rsid w:val="005C15D6"/>
    <w:rsid w:val="005C220B"/>
    <w:rsid w:val="005C45E4"/>
    <w:rsid w:val="005C5C95"/>
    <w:rsid w:val="005C6172"/>
    <w:rsid w:val="005C67A7"/>
    <w:rsid w:val="005D32E5"/>
    <w:rsid w:val="005D656F"/>
    <w:rsid w:val="005D6949"/>
    <w:rsid w:val="005D7954"/>
    <w:rsid w:val="005E4361"/>
    <w:rsid w:val="005E6986"/>
    <w:rsid w:val="005F1E42"/>
    <w:rsid w:val="005F4411"/>
    <w:rsid w:val="005F4B0B"/>
    <w:rsid w:val="00600AAE"/>
    <w:rsid w:val="0060311A"/>
    <w:rsid w:val="00603214"/>
    <w:rsid w:val="00607B7E"/>
    <w:rsid w:val="006245CC"/>
    <w:rsid w:val="006271ED"/>
    <w:rsid w:val="00627846"/>
    <w:rsid w:val="00627E96"/>
    <w:rsid w:val="00633052"/>
    <w:rsid w:val="006348AC"/>
    <w:rsid w:val="00641960"/>
    <w:rsid w:val="006429A3"/>
    <w:rsid w:val="0064374E"/>
    <w:rsid w:val="0064501A"/>
    <w:rsid w:val="00645BBB"/>
    <w:rsid w:val="00650512"/>
    <w:rsid w:val="00650BA3"/>
    <w:rsid w:val="00651EBD"/>
    <w:rsid w:val="006557E3"/>
    <w:rsid w:val="0065728D"/>
    <w:rsid w:val="00657999"/>
    <w:rsid w:val="00662110"/>
    <w:rsid w:val="006652BA"/>
    <w:rsid w:val="00671B54"/>
    <w:rsid w:val="00671FF2"/>
    <w:rsid w:val="0068297C"/>
    <w:rsid w:val="00682D9A"/>
    <w:rsid w:val="006839AC"/>
    <w:rsid w:val="00684646"/>
    <w:rsid w:val="00686E7B"/>
    <w:rsid w:val="006973EA"/>
    <w:rsid w:val="006A2024"/>
    <w:rsid w:val="006A2EA8"/>
    <w:rsid w:val="006A5986"/>
    <w:rsid w:val="006B5082"/>
    <w:rsid w:val="006C0E23"/>
    <w:rsid w:val="006C1C21"/>
    <w:rsid w:val="006C211B"/>
    <w:rsid w:val="006C324F"/>
    <w:rsid w:val="006C3AAC"/>
    <w:rsid w:val="006D0446"/>
    <w:rsid w:val="006D0DC2"/>
    <w:rsid w:val="006D0DD4"/>
    <w:rsid w:val="006D0F9B"/>
    <w:rsid w:val="006D1B8E"/>
    <w:rsid w:val="006D3DDB"/>
    <w:rsid w:val="006D5A0A"/>
    <w:rsid w:val="006D6448"/>
    <w:rsid w:val="006D7428"/>
    <w:rsid w:val="006E1A9B"/>
    <w:rsid w:val="006E41F7"/>
    <w:rsid w:val="006F22BA"/>
    <w:rsid w:val="006F5A2F"/>
    <w:rsid w:val="0070278B"/>
    <w:rsid w:val="0070367A"/>
    <w:rsid w:val="0071156F"/>
    <w:rsid w:val="0071168F"/>
    <w:rsid w:val="00712108"/>
    <w:rsid w:val="007123D8"/>
    <w:rsid w:val="00712E67"/>
    <w:rsid w:val="00717FEE"/>
    <w:rsid w:val="00720A70"/>
    <w:rsid w:val="00721510"/>
    <w:rsid w:val="00721CDF"/>
    <w:rsid w:val="007335BA"/>
    <w:rsid w:val="00733B06"/>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00BF"/>
    <w:rsid w:val="007B1798"/>
    <w:rsid w:val="007C1F92"/>
    <w:rsid w:val="007C260B"/>
    <w:rsid w:val="007C5CD2"/>
    <w:rsid w:val="007C68A8"/>
    <w:rsid w:val="007C7C54"/>
    <w:rsid w:val="007E6C55"/>
    <w:rsid w:val="007F1371"/>
    <w:rsid w:val="007F1A5C"/>
    <w:rsid w:val="007F7673"/>
    <w:rsid w:val="007F77A3"/>
    <w:rsid w:val="00802B60"/>
    <w:rsid w:val="00802E3F"/>
    <w:rsid w:val="008059D0"/>
    <w:rsid w:val="00816DE7"/>
    <w:rsid w:val="00817206"/>
    <w:rsid w:val="00820080"/>
    <w:rsid w:val="008216CF"/>
    <w:rsid w:val="00827C76"/>
    <w:rsid w:val="008334F3"/>
    <w:rsid w:val="0083360E"/>
    <w:rsid w:val="0083382A"/>
    <w:rsid w:val="00836D6D"/>
    <w:rsid w:val="00837277"/>
    <w:rsid w:val="00841A2A"/>
    <w:rsid w:val="008439B7"/>
    <w:rsid w:val="00844208"/>
    <w:rsid w:val="008446B8"/>
    <w:rsid w:val="00844BD0"/>
    <w:rsid w:val="00854569"/>
    <w:rsid w:val="008571C5"/>
    <w:rsid w:val="00857617"/>
    <w:rsid w:val="008603C7"/>
    <w:rsid w:val="0086129B"/>
    <w:rsid w:val="008622B1"/>
    <w:rsid w:val="00866B60"/>
    <w:rsid w:val="00873BAB"/>
    <w:rsid w:val="00875D64"/>
    <w:rsid w:val="008820B9"/>
    <w:rsid w:val="00893C2F"/>
    <w:rsid w:val="00897316"/>
    <w:rsid w:val="008A04CE"/>
    <w:rsid w:val="008A23E7"/>
    <w:rsid w:val="008A46E3"/>
    <w:rsid w:val="008A4DC4"/>
    <w:rsid w:val="008A6CDE"/>
    <w:rsid w:val="008B0962"/>
    <w:rsid w:val="008B3DF7"/>
    <w:rsid w:val="008B3FA3"/>
    <w:rsid w:val="008B63D5"/>
    <w:rsid w:val="008B6C76"/>
    <w:rsid w:val="008D1A04"/>
    <w:rsid w:val="008D5241"/>
    <w:rsid w:val="008D63B2"/>
    <w:rsid w:val="008D7D1C"/>
    <w:rsid w:val="008E008B"/>
    <w:rsid w:val="008E0431"/>
    <w:rsid w:val="008E05C0"/>
    <w:rsid w:val="008E20BE"/>
    <w:rsid w:val="008E431E"/>
    <w:rsid w:val="008E7483"/>
    <w:rsid w:val="008F239E"/>
    <w:rsid w:val="008F4465"/>
    <w:rsid w:val="008F4A81"/>
    <w:rsid w:val="008F4FDD"/>
    <w:rsid w:val="009025A2"/>
    <w:rsid w:val="009059CA"/>
    <w:rsid w:val="00905DF3"/>
    <w:rsid w:val="00912634"/>
    <w:rsid w:val="009154B0"/>
    <w:rsid w:val="009169DB"/>
    <w:rsid w:val="00917BB6"/>
    <w:rsid w:val="00921EF7"/>
    <w:rsid w:val="0092286C"/>
    <w:rsid w:val="00926D60"/>
    <w:rsid w:val="00930F11"/>
    <w:rsid w:val="00933794"/>
    <w:rsid w:val="00934F13"/>
    <w:rsid w:val="009362F3"/>
    <w:rsid w:val="00945D2B"/>
    <w:rsid w:val="009504DF"/>
    <w:rsid w:val="009519EB"/>
    <w:rsid w:val="00953C9A"/>
    <w:rsid w:val="00956171"/>
    <w:rsid w:val="00962731"/>
    <w:rsid w:val="00962C48"/>
    <w:rsid w:val="0096441F"/>
    <w:rsid w:val="00965848"/>
    <w:rsid w:val="0096760D"/>
    <w:rsid w:val="00972FDB"/>
    <w:rsid w:val="00977288"/>
    <w:rsid w:val="00984342"/>
    <w:rsid w:val="00985EC7"/>
    <w:rsid w:val="00986211"/>
    <w:rsid w:val="00995531"/>
    <w:rsid w:val="0099591D"/>
    <w:rsid w:val="009A076A"/>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2F4B"/>
    <w:rsid w:val="00A03681"/>
    <w:rsid w:val="00A05570"/>
    <w:rsid w:val="00A103EE"/>
    <w:rsid w:val="00A13B46"/>
    <w:rsid w:val="00A16511"/>
    <w:rsid w:val="00A17C0C"/>
    <w:rsid w:val="00A20261"/>
    <w:rsid w:val="00A25517"/>
    <w:rsid w:val="00A26C8F"/>
    <w:rsid w:val="00A31EDF"/>
    <w:rsid w:val="00A34EC5"/>
    <w:rsid w:val="00A351FE"/>
    <w:rsid w:val="00A371C2"/>
    <w:rsid w:val="00A40328"/>
    <w:rsid w:val="00A41D6C"/>
    <w:rsid w:val="00A42014"/>
    <w:rsid w:val="00A43ADB"/>
    <w:rsid w:val="00A479E5"/>
    <w:rsid w:val="00A551EE"/>
    <w:rsid w:val="00A56089"/>
    <w:rsid w:val="00A63533"/>
    <w:rsid w:val="00A652E4"/>
    <w:rsid w:val="00A70C40"/>
    <w:rsid w:val="00A810A9"/>
    <w:rsid w:val="00A813B8"/>
    <w:rsid w:val="00A81B82"/>
    <w:rsid w:val="00A862C3"/>
    <w:rsid w:val="00A90476"/>
    <w:rsid w:val="00A90D21"/>
    <w:rsid w:val="00A90E32"/>
    <w:rsid w:val="00AA2798"/>
    <w:rsid w:val="00AA5745"/>
    <w:rsid w:val="00AA795C"/>
    <w:rsid w:val="00AB0217"/>
    <w:rsid w:val="00AB083E"/>
    <w:rsid w:val="00AB6B02"/>
    <w:rsid w:val="00AB7292"/>
    <w:rsid w:val="00AC481D"/>
    <w:rsid w:val="00AC7533"/>
    <w:rsid w:val="00AD16C0"/>
    <w:rsid w:val="00AD2F2B"/>
    <w:rsid w:val="00AE0258"/>
    <w:rsid w:val="00AE41A4"/>
    <w:rsid w:val="00AE5B1C"/>
    <w:rsid w:val="00AF3F93"/>
    <w:rsid w:val="00AF493D"/>
    <w:rsid w:val="00B031B3"/>
    <w:rsid w:val="00B03A56"/>
    <w:rsid w:val="00B04599"/>
    <w:rsid w:val="00B12D4E"/>
    <w:rsid w:val="00B13BEC"/>
    <w:rsid w:val="00B145AF"/>
    <w:rsid w:val="00B145B0"/>
    <w:rsid w:val="00B2084F"/>
    <w:rsid w:val="00B22FDF"/>
    <w:rsid w:val="00B23D2B"/>
    <w:rsid w:val="00B24913"/>
    <w:rsid w:val="00B24AC7"/>
    <w:rsid w:val="00B25831"/>
    <w:rsid w:val="00B30F95"/>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75DAB"/>
    <w:rsid w:val="00B76572"/>
    <w:rsid w:val="00B84B0C"/>
    <w:rsid w:val="00B85ECC"/>
    <w:rsid w:val="00B910CC"/>
    <w:rsid w:val="00B94CC8"/>
    <w:rsid w:val="00B95FAD"/>
    <w:rsid w:val="00B9686A"/>
    <w:rsid w:val="00BA10E6"/>
    <w:rsid w:val="00BA3114"/>
    <w:rsid w:val="00BA3AF1"/>
    <w:rsid w:val="00BA3F5F"/>
    <w:rsid w:val="00BA5A0B"/>
    <w:rsid w:val="00BA6AEB"/>
    <w:rsid w:val="00BB18C8"/>
    <w:rsid w:val="00BB2671"/>
    <w:rsid w:val="00BB3838"/>
    <w:rsid w:val="00BB7FD6"/>
    <w:rsid w:val="00BC14CD"/>
    <w:rsid w:val="00BC3975"/>
    <w:rsid w:val="00BC4F70"/>
    <w:rsid w:val="00BC6856"/>
    <w:rsid w:val="00BD1F54"/>
    <w:rsid w:val="00BD3DEF"/>
    <w:rsid w:val="00BE1D0F"/>
    <w:rsid w:val="00BE6FE2"/>
    <w:rsid w:val="00BF1D76"/>
    <w:rsid w:val="00BF1F57"/>
    <w:rsid w:val="00BF25D0"/>
    <w:rsid w:val="00BF5601"/>
    <w:rsid w:val="00C00CE3"/>
    <w:rsid w:val="00C03320"/>
    <w:rsid w:val="00C033FD"/>
    <w:rsid w:val="00C06005"/>
    <w:rsid w:val="00C16844"/>
    <w:rsid w:val="00C2286A"/>
    <w:rsid w:val="00C30BFB"/>
    <w:rsid w:val="00C31061"/>
    <w:rsid w:val="00C32B3C"/>
    <w:rsid w:val="00C35A43"/>
    <w:rsid w:val="00C365B6"/>
    <w:rsid w:val="00C44812"/>
    <w:rsid w:val="00C50D27"/>
    <w:rsid w:val="00C54753"/>
    <w:rsid w:val="00C55B31"/>
    <w:rsid w:val="00C56D45"/>
    <w:rsid w:val="00C5738E"/>
    <w:rsid w:val="00C60C82"/>
    <w:rsid w:val="00C60F83"/>
    <w:rsid w:val="00C62783"/>
    <w:rsid w:val="00C63FBF"/>
    <w:rsid w:val="00C701A1"/>
    <w:rsid w:val="00C70FBB"/>
    <w:rsid w:val="00C74326"/>
    <w:rsid w:val="00C74E47"/>
    <w:rsid w:val="00C76F24"/>
    <w:rsid w:val="00C8012B"/>
    <w:rsid w:val="00C80CEE"/>
    <w:rsid w:val="00C83A72"/>
    <w:rsid w:val="00C846B0"/>
    <w:rsid w:val="00C86AF8"/>
    <w:rsid w:val="00C874EA"/>
    <w:rsid w:val="00C87D66"/>
    <w:rsid w:val="00C906E1"/>
    <w:rsid w:val="00C931E0"/>
    <w:rsid w:val="00C94038"/>
    <w:rsid w:val="00C941EB"/>
    <w:rsid w:val="00C97C1E"/>
    <w:rsid w:val="00C97FDA"/>
    <w:rsid w:val="00CA015C"/>
    <w:rsid w:val="00CA0CD6"/>
    <w:rsid w:val="00CA2A36"/>
    <w:rsid w:val="00CA4261"/>
    <w:rsid w:val="00CA5B87"/>
    <w:rsid w:val="00CB071E"/>
    <w:rsid w:val="00CB1996"/>
    <w:rsid w:val="00CB3723"/>
    <w:rsid w:val="00CB4ACB"/>
    <w:rsid w:val="00CB6BDF"/>
    <w:rsid w:val="00CC2BE2"/>
    <w:rsid w:val="00CC32E0"/>
    <w:rsid w:val="00CC46B9"/>
    <w:rsid w:val="00CC4FF0"/>
    <w:rsid w:val="00CD0411"/>
    <w:rsid w:val="00CD3E14"/>
    <w:rsid w:val="00CE1F2B"/>
    <w:rsid w:val="00CE44C7"/>
    <w:rsid w:val="00CE6130"/>
    <w:rsid w:val="00CE7434"/>
    <w:rsid w:val="00CF2393"/>
    <w:rsid w:val="00CF44B8"/>
    <w:rsid w:val="00CF450D"/>
    <w:rsid w:val="00CF5D88"/>
    <w:rsid w:val="00D00005"/>
    <w:rsid w:val="00D00608"/>
    <w:rsid w:val="00D0256B"/>
    <w:rsid w:val="00D02CD7"/>
    <w:rsid w:val="00D0377A"/>
    <w:rsid w:val="00D053D2"/>
    <w:rsid w:val="00D06D87"/>
    <w:rsid w:val="00D11B1F"/>
    <w:rsid w:val="00D1233F"/>
    <w:rsid w:val="00D14C41"/>
    <w:rsid w:val="00D1657A"/>
    <w:rsid w:val="00D20F0C"/>
    <w:rsid w:val="00D216CC"/>
    <w:rsid w:val="00D23428"/>
    <w:rsid w:val="00D313B8"/>
    <w:rsid w:val="00D33F09"/>
    <w:rsid w:val="00D45DBA"/>
    <w:rsid w:val="00D46D25"/>
    <w:rsid w:val="00D46DCE"/>
    <w:rsid w:val="00D507ED"/>
    <w:rsid w:val="00D52BFD"/>
    <w:rsid w:val="00D52EDF"/>
    <w:rsid w:val="00D63ED3"/>
    <w:rsid w:val="00D67414"/>
    <w:rsid w:val="00D72CEE"/>
    <w:rsid w:val="00D74C3B"/>
    <w:rsid w:val="00D75B6E"/>
    <w:rsid w:val="00D7697D"/>
    <w:rsid w:val="00D81216"/>
    <w:rsid w:val="00D823FF"/>
    <w:rsid w:val="00D90128"/>
    <w:rsid w:val="00D90758"/>
    <w:rsid w:val="00D95398"/>
    <w:rsid w:val="00D966C9"/>
    <w:rsid w:val="00D97662"/>
    <w:rsid w:val="00DA15EB"/>
    <w:rsid w:val="00DA1C05"/>
    <w:rsid w:val="00DA2B41"/>
    <w:rsid w:val="00DB1F2F"/>
    <w:rsid w:val="00DB2F14"/>
    <w:rsid w:val="00DB4510"/>
    <w:rsid w:val="00DB539A"/>
    <w:rsid w:val="00DB763E"/>
    <w:rsid w:val="00DC199D"/>
    <w:rsid w:val="00DC22DB"/>
    <w:rsid w:val="00DC2967"/>
    <w:rsid w:val="00DC3EEC"/>
    <w:rsid w:val="00DC5621"/>
    <w:rsid w:val="00DC7652"/>
    <w:rsid w:val="00DD0831"/>
    <w:rsid w:val="00DD0AB0"/>
    <w:rsid w:val="00DD3B90"/>
    <w:rsid w:val="00DD479A"/>
    <w:rsid w:val="00DE344E"/>
    <w:rsid w:val="00DF371F"/>
    <w:rsid w:val="00DF51FA"/>
    <w:rsid w:val="00E05C39"/>
    <w:rsid w:val="00E06DCC"/>
    <w:rsid w:val="00E0709A"/>
    <w:rsid w:val="00E10F05"/>
    <w:rsid w:val="00E13F69"/>
    <w:rsid w:val="00E14CC3"/>
    <w:rsid w:val="00E20B9E"/>
    <w:rsid w:val="00E23ACA"/>
    <w:rsid w:val="00E24758"/>
    <w:rsid w:val="00E26688"/>
    <w:rsid w:val="00E30CFB"/>
    <w:rsid w:val="00E3284E"/>
    <w:rsid w:val="00E33A18"/>
    <w:rsid w:val="00E34872"/>
    <w:rsid w:val="00E37C31"/>
    <w:rsid w:val="00E42BBD"/>
    <w:rsid w:val="00E42D89"/>
    <w:rsid w:val="00E510C0"/>
    <w:rsid w:val="00E520D8"/>
    <w:rsid w:val="00E54AE8"/>
    <w:rsid w:val="00E55530"/>
    <w:rsid w:val="00E56391"/>
    <w:rsid w:val="00E61A04"/>
    <w:rsid w:val="00E624F3"/>
    <w:rsid w:val="00E644D8"/>
    <w:rsid w:val="00E70CAA"/>
    <w:rsid w:val="00E71592"/>
    <w:rsid w:val="00E7292D"/>
    <w:rsid w:val="00E740AA"/>
    <w:rsid w:val="00E75393"/>
    <w:rsid w:val="00E770C2"/>
    <w:rsid w:val="00E833FB"/>
    <w:rsid w:val="00E8550E"/>
    <w:rsid w:val="00E90912"/>
    <w:rsid w:val="00E93404"/>
    <w:rsid w:val="00EA18A5"/>
    <w:rsid w:val="00EA5068"/>
    <w:rsid w:val="00EA538D"/>
    <w:rsid w:val="00EA7A90"/>
    <w:rsid w:val="00EB0D38"/>
    <w:rsid w:val="00EB1378"/>
    <w:rsid w:val="00EB3845"/>
    <w:rsid w:val="00EB66A9"/>
    <w:rsid w:val="00EC14DB"/>
    <w:rsid w:val="00EC3F0F"/>
    <w:rsid w:val="00EC41FA"/>
    <w:rsid w:val="00EC4876"/>
    <w:rsid w:val="00ED0B34"/>
    <w:rsid w:val="00EE2622"/>
    <w:rsid w:val="00EE4085"/>
    <w:rsid w:val="00EF3444"/>
    <w:rsid w:val="00EF3EC9"/>
    <w:rsid w:val="00EF6519"/>
    <w:rsid w:val="00EF7502"/>
    <w:rsid w:val="00F04346"/>
    <w:rsid w:val="00F1106E"/>
    <w:rsid w:val="00F120F5"/>
    <w:rsid w:val="00F144D3"/>
    <w:rsid w:val="00F20C4D"/>
    <w:rsid w:val="00F24FD2"/>
    <w:rsid w:val="00F303FE"/>
    <w:rsid w:val="00F322E7"/>
    <w:rsid w:val="00F336C7"/>
    <w:rsid w:val="00F455A6"/>
    <w:rsid w:val="00F45936"/>
    <w:rsid w:val="00F4730B"/>
    <w:rsid w:val="00F5195D"/>
    <w:rsid w:val="00F52F29"/>
    <w:rsid w:val="00F53C17"/>
    <w:rsid w:val="00F53E37"/>
    <w:rsid w:val="00F5519A"/>
    <w:rsid w:val="00F57E9B"/>
    <w:rsid w:val="00F6106A"/>
    <w:rsid w:val="00F61293"/>
    <w:rsid w:val="00F61A34"/>
    <w:rsid w:val="00F62A69"/>
    <w:rsid w:val="00F64088"/>
    <w:rsid w:val="00F645E9"/>
    <w:rsid w:val="00F70C0C"/>
    <w:rsid w:val="00F723B8"/>
    <w:rsid w:val="00F72765"/>
    <w:rsid w:val="00F72814"/>
    <w:rsid w:val="00F76C52"/>
    <w:rsid w:val="00F80FD7"/>
    <w:rsid w:val="00F8201B"/>
    <w:rsid w:val="00F85E4D"/>
    <w:rsid w:val="00F924D4"/>
    <w:rsid w:val="00F96CA7"/>
    <w:rsid w:val="00F97B40"/>
    <w:rsid w:val="00FA06DF"/>
    <w:rsid w:val="00FA15B6"/>
    <w:rsid w:val="00FA312B"/>
    <w:rsid w:val="00FB755A"/>
    <w:rsid w:val="00FC0B30"/>
    <w:rsid w:val="00FC16C4"/>
    <w:rsid w:val="00FC26EC"/>
    <w:rsid w:val="00FC4003"/>
    <w:rsid w:val="00FC6924"/>
    <w:rsid w:val="00FC6DAB"/>
    <w:rsid w:val="00FD09B5"/>
    <w:rsid w:val="00FD578C"/>
    <w:rsid w:val="00FD5E54"/>
    <w:rsid w:val="00FE0E2C"/>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8CC67FE7-1054-4A62-B6A0-F6EB2C7E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 w:type="paragraph" w:customStyle="1" w:styleId="paragrafopadrao">
    <w:name w:val="paragrafopadrao"/>
    <w:basedOn w:val="Normal"/>
    <w:rsid w:val="00F336C7"/>
    <w:pPr>
      <w:spacing w:before="100" w:beforeAutospacing="1" w:after="100" w:afterAutospacing="1"/>
    </w:pPr>
    <w:rPr>
      <w:rFonts w:ascii="Times New Roman" w:eastAsia="Times New Roman" w:hAnsi="Times New Roman"/>
      <w:lang w:eastAsia="pt-BR"/>
    </w:rPr>
  </w:style>
  <w:style w:type="paragraph" w:customStyle="1" w:styleId="citacao">
    <w:name w:val="citacao"/>
    <w:basedOn w:val="Normal"/>
    <w:rsid w:val="00F336C7"/>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362FDB-C8A8-40E7-940A-3609D0BF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121</TotalTime>
  <Pages>5</Pages>
  <Words>2105</Words>
  <Characters>11372</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5</cp:revision>
  <cp:lastPrinted>2018-04-06T13:58:00Z</cp:lastPrinted>
  <dcterms:created xsi:type="dcterms:W3CDTF">2019-01-15T19:38:00Z</dcterms:created>
  <dcterms:modified xsi:type="dcterms:W3CDTF">2019-01-29T16:08:00Z</dcterms:modified>
  <cp:contentStatus>2012, 2013, 2014, 2015 e 2016</cp:contentStatus>
</cp:coreProperties>
</file>