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1564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222656" w:rsidP="002226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842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1564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222656" w:rsidP="002226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1564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222656" w:rsidP="002226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ARQ URB – DANIEL SCHÜÜR.</w:t>
            </w:r>
          </w:p>
        </w:tc>
      </w:tr>
      <w:tr w:rsidR="00F53E37" w:rsidRPr="001D1939" w:rsidTr="001564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15642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222656" w:rsidRPr="00222656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4D3D6B" w:rsidRPr="00156428" w:rsidRDefault="004D3D6B" w:rsidP="004D3D6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156428">
        <w:rPr>
          <w:rFonts w:ascii="Times New Roman" w:eastAsia="Calibri" w:hAnsi="Times New Roman"/>
          <w:sz w:val="22"/>
          <w:szCs w:val="22"/>
        </w:rPr>
        <w:t>Em 18 de dezembro 2017, a Gerência Financeira do CAU/RS encaminhou a Notificação Administrativa nº 845/2017 ao Arquiteto e Urbanista Sr. DANIEL SCHÜÜR, concedendo-lhe o prazo de 30 (trinta) dias para saldar ou parce</w:t>
      </w:r>
      <w:bookmarkStart w:id="0" w:name="_GoBack"/>
      <w:bookmarkEnd w:id="0"/>
      <w:r w:rsidRPr="00156428">
        <w:rPr>
          <w:rFonts w:ascii="Times New Roman" w:eastAsia="Calibri" w:hAnsi="Times New Roman"/>
          <w:sz w:val="22"/>
          <w:szCs w:val="22"/>
        </w:rPr>
        <w:t>lar o débito referente às anuidades de 2012, 2013, 2014, 2015, 2016 e 2017 em atraso ou para oferecer impugnação escrita a esta Comissão (fl. 13).</w:t>
      </w:r>
    </w:p>
    <w:p w:rsidR="004D3D6B" w:rsidRPr="00156428" w:rsidRDefault="004D3D6B" w:rsidP="004D3D6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156428">
        <w:rPr>
          <w:rFonts w:ascii="Times New Roman" w:eastAsia="Calibri" w:hAnsi="Times New Roman"/>
          <w:sz w:val="22"/>
          <w:szCs w:val="22"/>
        </w:rPr>
        <w:t>Notificado (fl.14), o profissional apresentou impugnação tempestiva via formulário (fls. 15 e verso), bem como juntou documentos (fls. 16-18). Aduziu, em suma, que no início de 2011 dirigiu-se até o CREA de Caixas do Sul para obter informações acerca da interrupção de seu registro profissional, momento em que foi informado que a interrupção do registro seria automática caso deixasse de pagar a próxima anuidade (2012).  Referiu que, diante de tal informação, não se preocupou mais com o assunto e, ainda, que em 2011 deixou de exercer a profissão de Arquiteto torn</w:t>
      </w:r>
      <w:r w:rsidR="00524F3F" w:rsidRPr="00156428">
        <w:rPr>
          <w:rFonts w:ascii="Times New Roman" w:eastAsia="Calibri" w:hAnsi="Times New Roman"/>
          <w:sz w:val="22"/>
          <w:szCs w:val="22"/>
        </w:rPr>
        <w:t>ando-se</w:t>
      </w:r>
      <w:r w:rsidRPr="00156428">
        <w:rPr>
          <w:rFonts w:ascii="Times New Roman" w:eastAsia="Calibri" w:hAnsi="Times New Roman"/>
          <w:sz w:val="22"/>
          <w:szCs w:val="22"/>
        </w:rPr>
        <w:t xml:space="preserve"> fotógrafo. Salient</w:t>
      </w:r>
      <w:r w:rsidR="00524F3F" w:rsidRPr="00156428">
        <w:rPr>
          <w:rFonts w:ascii="Times New Roman" w:eastAsia="Calibri" w:hAnsi="Times New Roman"/>
          <w:sz w:val="22"/>
          <w:szCs w:val="22"/>
        </w:rPr>
        <w:t>ou</w:t>
      </w:r>
      <w:r w:rsidRPr="00156428">
        <w:rPr>
          <w:rFonts w:ascii="Times New Roman" w:eastAsia="Calibri" w:hAnsi="Times New Roman"/>
          <w:sz w:val="22"/>
          <w:szCs w:val="22"/>
        </w:rPr>
        <w:t xml:space="preserve"> que em seis anos</w:t>
      </w:r>
      <w:r w:rsidR="00524F3F" w:rsidRPr="00156428">
        <w:rPr>
          <w:rFonts w:ascii="Times New Roman" w:eastAsia="Calibri" w:hAnsi="Times New Roman"/>
          <w:sz w:val="22"/>
          <w:szCs w:val="22"/>
        </w:rPr>
        <w:t>,</w:t>
      </w:r>
      <w:r w:rsidRPr="00156428">
        <w:rPr>
          <w:rFonts w:ascii="Times New Roman" w:eastAsia="Calibri" w:hAnsi="Times New Roman"/>
          <w:sz w:val="22"/>
          <w:szCs w:val="22"/>
        </w:rPr>
        <w:t xml:space="preserve"> nunca foi informado acerca das dividas de anuidades</w:t>
      </w:r>
      <w:r w:rsidR="00524F3F" w:rsidRPr="00156428">
        <w:rPr>
          <w:rFonts w:ascii="Times New Roman" w:eastAsia="Calibri" w:hAnsi="Times New Roman"/>
          <w:sz w:val="22"/>
          <w:szCs w:val="22"/>
        </w:rPr>
        <w:t xml:space="preserve"> perante o CAU/RS</w:t>
      </w:r>
      <w:r w:rsidRPr="00156428">
        <w:rPr>
          <w:rFonts w:ascii="Times New Roman" w:eastAsia="Calibri" w:hAnsi="Times New Roman"/>
          <w:sz w:val="22"/>
          <w:szCs w:val="22"/>
        </w:rPr>
        <w:t>. Inform</w:t>
      </w:r>
      <w:r w:rsidR="00524F3F" w:rsidRPr="00156428">
        <w:rPr>
          <w:rFonts w:ascii="Times New Roman" w:eastAsia="Calibri" w:hAnsi="Times New Roman"/>
          <w:sz w:val="22"/>
          <w:szCs w:val="22"/>
        </w:rPr>
        <w:t>ou</w:t>
      </w:r>
      <w:r w:rsidRPr="00156428">
        <w:rPr>
          <w:rFonts w:ascii="Times New Roman" w:eastAsia="Calibri" w:hAnsi="Times New Roman"/>
          <w:sz w:val="22"/>
          <w:szCs w:val="22"/>
        </w:rPr>
        <w:t xml:space="preserve"> que, em 27 dezembro de 2017, depois de </w:t>
      </w:r>
      <w:r w:rsidR="00524F3F" w:rsidRPr="00156428">
        <w:rPr>
          <w:rFonts w:ascii="Times New Roman" w:eastAsia="Calibri" w:hAnsi="Times New Roman"/>
          <w:sz w:val="22"/>
          <w:szCs w:val="22"/>
        </w:rPr>
        <w:t xml:space="preserve">ter sido </w:t>
      </w:r>
      <w:r w:rsidRPr="00156428">
        <w:rPr>
          <w:rFonts w:ascii="Times New Roman" w:eastAsia="Calibri" w:hAnsi="Times New Roman"/>
          <w:sz w:val="22"/>
          <w:szCs w:val="22"/>
        </w:rPr>
        <w:t>notificado acerca da dívida</w:t>
      </w:r>
      <w:r w:rsidR="00524F3F" w:rsidRPr="00156428">
        <w:rPr>
          <w:rFonts w:ascii="Times New Roman" w:eastAsia="Calibri" w:hAnsi="Times New Roman"/>
          <w:sz w:val="22"/>
          <w:szCs w:val="22"/>
        </w:rPr>
        <w:t>,</w:t>
      </w:r>
      <w:r w:rsidRPr="00156428">
        <w:rPr>
          <w:rFonts w:ascii="Times New Roman" w:eastAsia="Calibri" w:hAnsi="Times New Roman"/>
          <w:sz w:val="22"/>
          <w:szCs w:val="22"/>
        </w:rPr>
        <w:t xml:space="preserve"> procedeu a interrupção do seu registro junto ao CAU</w:t>
      </w:r>
      <w:r w:rsidR="00524F3F" w:rsidRPr="00156428">
        <w:rPr>
          <w:rFonts w:ascii="Times New Roman" w:eastAsia="Calibri" w:hAnsi="Times New Roman"/>
          <w:sz w:val="22"/>
          <w:szCs w:val="22"/>
        </w:rPr>
        <w:t>/RS</w:t>
      </w:r>
      <w:r w:rsidRPr="00156428">
        <w:rPr>
          <w:rFonts w:ascii="Times New Roman" w:eastAsia="Calibri" w:hAnsi="Times New Roman"/>
          <w:sz w:val="22"/>
          <w:szCs w:val="22"/>
        </w:rPr>
        <w:t xml:space="preserve">, mediante </w:t>
      </w:r>
      <w:r w:rsidR="00524F3F" w:rsidRPr="00156428">
        <w:rPr>
          <w:rFonts w:ascii="Times New Roman" w:eastAsia="Calibri" w:hAnsi="Times New Roman"/>
          <w:sz w:val="22"/>
          <w:szCs w:val="22"/>
        </w:rPr>
        <w:t xml:space="preserve">elaboração de </w:t>
      </w:r>
      <w:r w:rsidRPr="00156428">
        <w:rPr>
          <w:rFonts w:ascii="Times New Roman" w:eastAsia="Calibri" w:hAnsi="Times New Roman"/>
          <w:sz w:val="22"/>
          <w:szCs w:val="22"/>
        </w:rPr>
        <w:t xml:space="preserve">declaração de não emissão de </w:t>
      </w:r>
      <w:proofErr w:type="spellStart"/>
      <w:r w:rsidRPr="00156428">
        <w:rPr>
          <w:rFonts w:ascii="Times New Roman" w:eastAsia="Calibri" w:hAnsi="Times New Roman"/>
          <w:sz w:val="22"/>
          <w:szCs w:val="22"/>
        </w:rPr>
        <w:t>RRTs</w:t>
      </w:r>
      <w:proofErr w:type="spellEnd"/>
      <w:r w:rsidRPr="00156428">
        <w:rPr>
          <w:rFonts w:ascii="Times New Roman" w:eastAsia="Calibri" w:hAnsi="Times New Roman"/>
          <w:sz w:val="22"/>
          <w:szCs w:val="22"/>
        </w:rPr>
        <w:t>. Requer</w:t>
      </w:r>
      <w:r w:rsidR="00524F3F" w:rsidRPr="00156428">
        <w:rPr>
          <w:rFonts w:ascii="Times New Roman" w:eastAsia="Calibri" w:hAnsi="Times New Roman"/>
          <w:sz w:val="22"/>
          <w:szCs w:val="22"/>
        </w:rPr>
        <w:t>eu, por todo o exposto,</w:t>
      </w:r>
      <w:r w:rsidRPr="00156428">
        <w:rPr>
          <w:rFonts w:ascii="Times New Roman" w:eastAsia="Calibri" w:hAnsi="Times New Roman"/>
          <w:sz w:val="22"/>
          <w:szCs w:val="22"/>
        </w:rPr>
        <w:t xml:space="preserve"> a anulação das anuidades ou a revisão dos valores devidos. </w:t>
      </w:r>
    </w:p>
    <w:p w:rsidR="004D3D6B" w:rsidRPr="00156428" w:rsidRDefault="004D3D6B" w:rsidP="004D3D6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156428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56428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56428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6428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156428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156428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156428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156428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15642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eastAsia="Calibri" w:hAnsi="Times New Roman"/>
          <w:sz w:val="22"/>
          <w:szCs w:val="22"/>
        </w:rPr>
        <w:t>Salienta</w:t>
      </w:r>
      <w:r w:rsidRPr="00156428">
        <w:rPr>
          <w:rFonts w:ascii="Times New Roman" w:hAnsi="Times New Roman"/>
          <w:sz w:val="22"/>
          <w:szCs w:val="22"/>
        </w:rPr>
        <w:t>-se, inicialmente, que “</w:t>
      </w:r>
      <w:r w:rsidRPr="00156428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156428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156428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56428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15642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156428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56428">
        <w:rPr>
          <w:rFonts w:ascii="Times New Roman" w:hAnsi="Times New Roman"/>
          <w:sz w:val="22"/>
          <w:szCs w:val="22"/>
        </w:rPr>
        <w:t>” e por objetivo “</w:t>
      </w:r>
      <w:r w:rsidRPr="00156428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156428">
        <w:rPr>
          <w:rFonts w:ascii="Times New Roman" w:hAnsi="Times New Roman"/>
          <w:sz w:val="22"/>
          <w:szCs w:val="22"/>
        </w:rPr>
        <w:t>”, competindo-lhe “</w:t>
      </w:r>
      <w:r w:rsidRPr="00156428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56428">
        <w:rPr>
          <w:rFonts w:ascii="Times New Roman" w:hAnsi="Times New Roman"/>
          <w:sz w:val="22"/>
          <w:szCs w:val="22"/>
        </w:rPr>
        <w:t xml:space="preserve">”, </w:t>
      </w:r>
      <w:r w:rsidRPr="00156428">
        <w:rPr>
          <w:rFonts w:ascii="Times New Roman" w:eastAsia="Calibri" w:hAnsi="Times New Roman"/>
          <w:sz w:val="22"/>
          <w:szCs w:val="22"/>
        </w:rPr>
        <w:t>conforme</w:t>
      </w:r>
      <w:r w:rsidRPr="00156428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15642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56428">
        <w:rPr>
          <w:rFonts w:ascii="Times New Roman" w:hAnsi="Times New Roman"/>
          <w:sz w:val="22"/>
          <w:szCs w:val="22"/>
        </w:rPr>
        <w:t xml:space="preserve"> </w:t>
      </w:r>
      <w:r w:rsidR="00102810" w:rsidRPr="00156428">
        <w:rPr>
          <w:rFonts w:ascii="Times New Roman" w:hAnsi="Times New Roman"/>
          <w:sz w:val="22"/>
          <w:szCs w:val="22"/>
        </w:rPr>
        <w:t xml:space="preserve">dos </w:t>
      </w:r>
      <w:r w:rsidRPr="00156428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56428">
        <w:rPr>
          <w:rFonts w:ascii="Times New Roman" w:hAnsi="Times New Roman"/>
          <w:sz w:val="22"/>
          <w:szCs w:val="22"/>
        </w:rPr>
        <w:t>CAUs</w:t>
      </w:r>
      <w:proofErr w:type="spellEnd"/>
      <w:r w:rsidRPr="00156428">
        <w:rPr>
          <w:rFonts w:ascii="Times New Roman" w:hAnsi="Times New Roman"/>
          <w:sz w:val="22"/>
          <w:szCs w:val="22"/>
        </w:rPr>
        <w:t>, conforme o disposto no art. 37</w:t>
      </w:r>
      <w:r w:rsidR="00000ACA" w:rsidRPr="00156428">
        <w:rPr>
          <w:rFonts w:ascii="Times New Roman" w:hAnsi="Times New Roman"/>
          <w:sz w:val="22"/>
          <w:szCs w:val="22"/>
        </w:rPr>
        <w:t>,</w:t>
      </w:r>
      <w:r w:rsidRPr="00156428">
        <w:rPr>
          <w:rFonts w:ascii="Times New Roman" w:hAnsi="Times New Roman"/>
          <w:sz w:val="22"/>
          <w:szCs w:val="22"/>
        </w:rPr>
        <w:t xml:space="preserve"> da Lei nº 12.378/2010.</w:t>
      </w:r>
    </w:p>
    <w:p w:rsidR="00524F3F" w:rsidRDefault="00524F3F" w:rsidP="00524F3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lastRenderedPageBreak/>
        <w:t>Tendo como base a Orientação Jurídica nº 004/2016, resta claro que as anuidades possuem natureza tributária, as quais têm como fato gerador a inscrição no Conselho, ainda que por tempo limitado, nos termos do artigo 5º, da Lei nº 12.514/2011 c/c art. 1º da Lei nº 6.839/1980</w:t>
      </w:r>
      <w:r w:rsidRPr="00156428">
        <w:rPr>
          <w:sz w:val="22"/>
          <w:szCs w:val="22"/>
          <w:vertAlign w:val="superscript"/>
        </w:rPr>
        <w:footnoteReference w:id="1"/>
      </w:r>
      <w:r w:rsidRPr="00156428">
        <w:rPr>
          <w:rFonts w:ascii="Times New Roman" w:hAnsi="Times New Roman"/>
          <w:sz w:val="22"/>
          <w:szCs w:val="22"/>
        </w:rPr>
        <w:t>, ou seja, são devidas e devem ser cobradas sempre que se configurar a inscrição, independente do exercício. A jurisprudência é clara nesse sentido, consoante demonstram os julgados abaixo transcritos:</w:t>
      </w:r>
    </w:p>
    <w:p w:rsidR="00F179ED" w:rsidRPr="00156428" w:rsidRDefault="00F179ED" w:rsidP="00F179ED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524F3F" w:rsidRDefault="00524F3F" w:rsidP="00E43DFC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 xml:space="preserve"> “</w:t>
      </w:r>
      <w:r w:rsidRPr="007335BA">
        <w:rPr>
          <w:rFonts w:ascii="Times New Roman" w:hAnsi="Times New Roman"/>
          <w:i/>
          <w:sz w:val="16"/>
          <w:szCs w:val="20"/>
        </w:rPr>
        <w:t>AGRAVO DE INSTRUMENTO. CONTRI</w:t>
      </w:r>
      <w:r w:rsidR="00B03070">
        <w:rPr>
          <w:rFonts w:ascii="Times New Roman" w:hAnsi="Times New Roman"/>
          <w:i/>
          <w:sz w:val="16"/>
          <w:szCs w:val="20"/>
        </w:rPr>
        <w:t>B</w:t>
      </w:r>
      <w:r w:rsidRPr="007335BA">
        <w:rPr>
          <w:rFonts w:ascii="Times New Roman" w:hAnsi="Times New Roman"/>
          <w:i/>
          <w:sz w:val="16"/>
          <w:szCs w:val="20"/>
        </w:rPr>
        <w:t xml:space="preserve">UIÇÕES SOCIAIS. CONSELHOS PROFISSIONAIS. ZOOTECNIA. APLICAÇÃO DAS DISPOSIÇÕES DA LEI QUE REGULA A PROFISSÃO DE VETERINÁRIO. FATO GERADOR. INSCRIÇÃO. CONDIÇÃO DE PROCEDIBILIDADE. REQUISITO DO </w:t>
      </w:r>
      <w:r w:rsidR="00B03070">
        <w:rPr>
          <w:rFonts w:ascii="Times New Roman" w:hAnsi="Times New Roman"/>
          <w:i/>
          <w:sz w:val="16"/>
          <w:szCs w:val="20"/>
        </w:rPr>
        <w:t>A</w:t>
      </w:r>
      <w:r w:rsidRPr="007335BA">
        <w:rPr>
          <w:rFonts w:ascii="Times New Roman" w:hAnsi="Times New Roman"/>
          <w:i/>
          <w:sz w:val="16"/>
          <w:szCs w:val="20"/>
        </w:rPr>
        <w:t xml:space="preserve">CÚMULO DE QUATRO ANUIDADES. DESPROVIMENTO. 1. Aplica-se ao </w:t>
      </w:r>
      <w:proofErr w:type="spellStart"/>
      <w:r w:rsidRPr="007335BA">
        <w:rPr>
          <w:rFonts w:ascii="Times New Roman" w:hAnsi="Times New Roman"/>
          <w:i/>
          <w:sz w:val="16"/>
          <w:szCs w:val="20"/>
        </w:rPr>
        <w:t>zootecnista</w:t>
      </w:r>
      <w:proofErr w:type="spellEnd"/>
      <w:r w:rsidRPr="007335BA">
        <w:rPr>
          <w:rFonts w:ascii="Times New Roman" w:hAnsi="Times New Roman"/>
          <w:i/>
          <w:sz w:val="16"/>
          <w:szCs w:val="20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</w:t>
      </w:r>
      <w:proofErr w:type="spellStart"/>
      <w:r w:rsidRPr="007335BA">
        <w:rPr>
          <w:rFonts w:ascii="Times New Roman" w:hAnsi="Times New Roman"/>
          <w:sz w:val="16"/>
          <w:szCs w:val="20"/>
        </w:rPr>
        <w:t>Lazzari</w:t>
      </w:r>
      <w:proofErr w:type="spellEnd"/>
      <w:r w:rsidRPr="007335BA">
        <w:rPr>
          <w:rFonts w:ascii="Times New Roman" w:hAnsi="Times New Roman"/>
          <w:sz w:val="16"/>
          <w:szCs w:val="20"/>
        </w:rPr>
        <w:t>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F179ED" w:rsidRDefault="00F179ED" w:rsidP="00E43DFC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524F3F" w:rsidRPr="007335BA" w:rsidRDefault="00524F3F" w:rsidP="00E43DFC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</w:t>
      </w:r>
      <w:r w:rsidR="00B03070">
        <w:rPr>
          <w:rFonts w:ascii="Times New Roman" w:hAnsi="Times New Roman"/>
          <w:i/>
          <w:sz w:val="16"/>
          <w:szCs w:val="16"/>
        </w:rPr>
        <w:t>H</w:t>
      </w:r>
      <w:r w:rsidRPr="007335BA">
        <w:rPr>
          <w:rFonts w:ascii="Times New Roman" w:hAnsi="Times New Roman"/>
          <w:i/>
          <w:sz w:val="16"/>
          <w:szCs w:val="16"/>
        </w:rPr>
        <w:t xml:space="preserve">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524F3F" w:rsidRPr="007335BA" w:rsidRDefault="00524F3F" w:rsidP="00E43DFC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524F3F" w:rsidRPr="00156428" w:rsidRDefault="00524F3F" w:rsidP="004222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>Importante salientar que, conforme disposto no art. 14 da Resolução CAU/BR nº 18, a interrupção do registro é facultada ao profissional que, temporariamente, não pretende exercer a profissão, desde que: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524F3F" w:rsidRPr="00156428" w:rsidRDefault="00524F3F" w:rsidP="004222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 xml:space="preserve">Ademais, a Lei nº 12.378/10, que criou os Conselhos de Arquitetura e Urbanismo no Brasil determinou em seu art. 55 que </w:t>
      </w:r>
      <w:r w:rsidRPr="00156428">
        <w:rPr>
          <w:rFonts w:ascii="Times New Roman" w:hAnsi="Times New Roman"/>
          <w:i/>
          <w:sz w:val="22"/>
          <w:szCs w:val="22"/>
        </w:rPr>
        <w:t xml:space="preserve">“os profissionais com título de arquitetos e urbanistas, arquitetos e engenheiro arquiteto, com registro nos atuais Conselhos Regionais de Engenharia, Arquitetura e Agronomia - </w:t>
      </w:r>
      <w:proofErr w:type="spellStart"/>
      <w:r w:rsidRPr="00156428">
        <w:rPr>
          <w:rFonts w:ascii="Times New Roman" w:hAnsi="Times New Roman"/>
          <w:i/>
          <w:sz w:val="22"/>
          <w:szCs w:val="22"/>
        </w:rPr>
        <w:t>CREAs</w:t>
      </w:r>
      <w:proofErr w:type="spellEnd"/>
      <w:r w:rsidRPr="00156428">
        <w:rPr>
          <w:rFonts w:ascii="Times New Roman" w:hAnsi="Times New Roman"/>
          <w:i/>
          <w:sz w:val="22"/>
          <w:szCs w:val="22"/>
        </w:rPr>
        <w:t xml:space="preserve"> terão, automaticamente, registro nos </w:t>
      </w:r>
      <w:proofErr w:type="spellStart"/>
      <w:r w:rsidRPr="00156428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156428">
        <w:rPr>
          <w:rFonts w:ascii="Times New Roman" w:hAnsi="Times New Roman"/>
          <w:i/>
          <w:sz w:val="22"/>
          <w:szCs w:val="22"/>
        </w:rPr>
        <w:t xml:space="preserve"> com o título único de arquiteto e urbanista”</w:t>
      </w:r>
      <w:r w:rsidRPr="00156428">
        <w:rPr>
          <w:rFonts w:ascii="Times New Roman" w:hAnsi="Times New Roman"/>
          <w:sz w:val="22"/>
          <w:szCs w:val="22"/>
        </w:rPr>
        <w:t xml:space="preserve">, não cabendo a extinção do crédito tributário em razão de alegado desconhecimento da lei pelo contribuinte ou de ausência de notificação da migração pelo Conselho de Arquitetura e Urbanismo do Rio Grande do Sul, especialmente considerando o disposto no art. 3º da Lei de Introdução às normas do Direito Brasileiro, que determina que </w:t>
      </w:r>
      <w:r w:rsidRPr="00156428">
        <w:rPr>
          <w:rFonts w:ascii="Times New Roman" w:hAnsi="Times New Roman"/>
          <w:i/>
          <w:sz w:val="22"/>
          <w:szCs w:val="22"/>
        </w:rPr>
        <w:t>“ninguém se escusa de cumprir a lei, alegando que não a conhece”</w:t>
      </w:r>
      <w:r w:rsidRPr="00156428">
        <w:rPr>
          <w:rFonts w:ascii="Times New Roman" w:hAnsi="Times New Roman"/>
          <w:sz w:val="22"/>
          <w:szCs w:val="22"/>
        </w:rPr>
        <w:t>.</w:t>
      </w:r>
    </w:p>
    <w:p w:rsidR="00615871" w:rsidRPr="00156428" w:rsidRDefault="00786131" w:rsidP="0061587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>No caso concreto, após analisar os termos da impugnação oferecida contra a Notificação Administrativa nº 845/2017, verifica-se que, em que pese</w:t>
      </w:r>
      <w:r w:rsidR="00615871" w:rsidRPr="00156428">
        <w:rPr>
          <w:rFonts w:ascii="Times New Roman" w:hAnsi="Times New Roman"/>
          <w:sz w:val="22"/>
          <w:szCs w:val="22"/>
        </w:rPr>
        <w:t>m</w:t>
      </w:r>
      <w:r w:rsidRPr="00156428">
        <w:rPr>
          <w:rFonts w:ascii="Times New Roman" w:hAnsi="Times New Roman"/>
          <w:sz w:val="22"/>
          <w:szCs w:val="22"/>
        </w:rPr>
        <w:t xml:space="preserve"> as alegações realizadas pelo profissional, no sentido d</w:t>
      </w:r>
      <w:r w:rsidR="00567B06" w:rsidRPr="00156428">
        <w:rPr>
          <w:rFonts w:ascii="Times New Roman" w:hAnsi="Times New Roman"/>
          <w:sz w:val="22"/>
          <w:szCs w:val="22"/>
        </w:rPr>
        <w:t>este ter</w:t>
      </w:r>
      <w:r w:rsidRPr="00156428">
        <w:rPr>
          <w:rFonts w:ascii="Times New Roman" w:hAnsi="Times New Roman"/>
          <w:sz w:val="22"/>
          <w:szCs w:val="22"/>
        </w:rPr>
        <w:t xml:space="preserve"> solicitado a baixa do registro junto ao CREA de Caxias do Sul ainda em 2011, tais alegações não vieram acompanhadas de qualquer documento hábil a comprovar o </w:t>
      </w:r>
      <w:r w:rsidR="00567B06" w:rsidRPr="00156428">
        <w:rPr>
          <w:rFonts w:ascii="Times New Roman" w:hAnsi="Times New Roman"/>
          <w:sz w:val="22"/>
          <w:szCs w:val="22"/>
        </w:rPr>
        <w:t xml:space="preserve">fato </w:t>
      </w:r>
      <w:r w:rsidRPr="00156428">
        <w:rPr>
          <w:rFonts w:ascii="Times New Roman" w:hAnsi="Times New Roman"/>
          <w:sz w:val="22"/>
          <w:szCs w:val="22"/>
        </w:rPr>
        <w:t>alegado</w:t>
      </w:r>
      <w:r w:rsidR="000E1245" w:rsidRPr="00156428">
        <w:rPr>
          <w:rFonts w:ascii="Times New Roman" w:hAnsi="Times New Roman"/>
          <w:sz w:val="22"/>
          <w:szCs w:val="22"/>
        </w:rPr>
        <w:t xml:space="preserve">, tal como, por exemplo, </w:t>
      </w:r>
      <w:r w:rsidR="00567B06" w:rsidRPr="00156428">
        <w:rPr>
          <w:rFonts w:ascii="Times New Roman" w:hAnsi="Times New Roman"/>
          <w:sz w:val="22"/>
          <w:szCs w:val="22"/>
        </w:rPr>
        <w:t xml:space="preserve">o </w:t>
      </w:r>
      <w:r w:rsidR="000E1245" w:rsidRPr="00156428">
        <w:rPr>
          <w:rFonts w:ascii="Times New Roman" w:hAnsi="Times New Roman"/>
          <w:sz w:val="22"/>
          <w:szCs w:val="22"/>
        </w:rPr>
        <w:t xml:space="preserve">documento protocolado junto ao CREA ou mesmo </w:t>
      </w:r>
      <w:r w:rsidR="00567B06" w:rsidRPr="00156428">
        <w:rPr>
          <w:rFonts w:ascii="Times New Roman" w:hAnsi="Times New Roman"/>
          <w:sz w:val="22"/>
          <w:szCs w:val="22"/>
        </w:rPr>
        <w:t xml:space="preserve">uma </w:t>
      </w:r>
      <w:r w:rsidR="000E1245" w:rsidRPr="00156428">
        <w:rPr>
          <w:rFonts w:ascii="Times New Roman" w:hAnsi="Times New Roman"/>
          <w:sz w:val="22"/>
          <w:szCs w:val="22"/>
        </w:rPr>
        <w:t>troca de e-mails nesse sentido, motivo pelo qual, não havendo comprovação do alegado, não há como atribuir razão ao Contribuinte, tendo em vista que há inscrição regular do Arquiteto e Urbanista perante o CAU/RS</w:t>
      </w:r>
      <w:r w:rsidR="00567B06" w:rsidRPr="00156428">
        <w:rPr>
          <w:rFonts w:ascii="Times New Roman" w:hAnsi="Times New Roman"/>
          <w:sz w:val="22"/>
          <w:szCs w:val="22"/>
        </w:rPr>
        <w:t>. Além disso,</w:t>
      </w:r>
      <w:r w:rsidR="000E1245" w:rsidRPr="00156428">
        <w:rPr>
          <w:rFonts w:ascii="Times New Roman" w:hAnsi="Times New Roman"/>
          <w:sz w:val="22"/>
          <w:szCs w:val="22"/>
        </w:rPr>
        <w:t xml:space="preserve"> o mero afastamento de suas atividades, </w:t>
      </w:r>
      <w:r w:rsidR="00567B06" w:rsidRPr="00156428">
        <w:rPr>
          <w:rFonts w:ascii="Times New Roman" w:hAnsi="Times New Roman"/>
          <w:sz w:val="22"/>
          <w:szCs w:val="22"/>
        </w:rPr>
        <w:t xml:space="preserve">fato </w:t>
      </w:r>
      <w:r w:rsidR="00615871" w:rsidRPr="00156428">
        <w:rPr>
          <w:rFonts w:ascii="Times New Roman" w:hAnsi="Times New Roman"/>
          <w:sz w:val="22"/>
          <w:szCs w:val="22"/>
        </w:rPr>
        <w:t xml:space="preserve">igualmente </w:t>
      </w:r>
      <w:r w:rsidR="00567B06" w:rsidRPr="00156428">
        <w:rPr>
          <w:rFonts w:ascii="Times New Roman" w:hAnsi="Times New Roman"/>
          <w:sz w:val="22"/>
          <w:szCs w:val="22"/>
        </w:rPr>
        <w:t>informado pelo profissional</w:t>
      </w:r>
      <w:r w:rsidR="000E1245" w:rsidRPr="00156428">
        <w:rPr>
          <w:rFonts w:ascii="Times New Roman" w:hAnsi="Times New Roman"/>
          <w:sz w:val="22"/>
          <w:szCs w:val="22"/>
        </w:rPr>
        <w:t>,</w:t>
      </w:r>
      <w:r w:rsidR="00615871" w:rsidRPr="00156428">
        <w:rPr>
          <w:rFonts w:ascii="Times New Roman" w:hAnsi="Times New Roman"/>
          <w:sz w:val="22"/>
          <w:szCs w:val="22"/>
        </w:rPr>
        <w:t xml:space="preserve"> não é </w:t>
      </w:r>
      <w:r w:rsidR="00567B06" w:rsidRPr="00156428">
        <w:rPr>
          <w:rFonts w:ascii="Times New Roman" w:hAnsi="Times New Roman"/>
          <w:sz w:val="22"/>
          <w:szCs w:val="22"/>
        </w:rPr>
        <w:t>causa legítima que afaste a obrigação de recolhimento de valores</w:t>
      </w:r>
      <w:r w:rsidR="00615871" w:rsidRPr="00156428">
        <w:rPr>
          <w:rFonts w:ascii="Times New Roman" w:hAnsi="Times New Roman"/>
          <w:sz w:val="22"/>
          <w:szCs w:val="22"/>
        </w:rPr>
        <w:t xml:space="preserve"> devidos ao Conselho, fatos que corroboram a necessidade da devida cobrança que é, por expressa previsão legal, obrigatória no caso concreto.</w:t>
      </w:r>
    </w:p>
    <w:p w:rsidR="00745D66" w:rsidRPr="00156428" w:rsidRDefault="00E43459" w:rsidP="004222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>Além disso, nota-se</w:t>
      </w:r>
      <w:r w:rsidR="00F73D77" w:rsidRPr="00156428">
        <w:rPr>
          <w:rFonts w:ascii="Times New Roman" w:hAnsi="Times New Roman"/>
          <w:sz w:val="22"/>
          <w:szCs w:val="22"/>
        </w:rPr>
        <w:t xml:space="preserve"> que o profissional solicitou a interrupção de seu registro profissional junto a esta Autarquia, em 27 de dezembro de 2017, conforme verificado no </w:t>
      </w:r>
      <w:r w:rsidRPr="00156428">
        <w:rPr>
          <w:rFonts w:ascii="Times New Roman" w:hAnsi="Times New Roman"/>
          <w:sz w:val="22"/>
          <w:szCs w:val="22"/>
        </w:rPr>
        <w:t xml:space="preserve">protocolo nº 628041/2017 realizado via </w:t>
      </w:r>
      <w:r w:rsidR="00F73D77" w:rsidRPr="00156428">
        <w:rPr>
          <w:rFonts w:ascii="Times New Roman" w:hAnsi="Times New Roman"/>
          <w:sz w:val="22"/>
          <w:szCs w:val="22"/>
        </w:rPr>
        <w:t>sistema SICCAU.</w:t>
      </w:r>
    </w:p>
    <w:p w:rsidR="00E43459" w:rsidRPr="00156428" w:rsidRDefault="00E43459" w:rsidP="00E434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EF3EC9" w:rsidRPr="00156428" w:rsidRDefault="00524F3F" w:rsidP="00E4345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156428">
        <w:rPr>
          <w:rFonts w:ascii="Times New Roman" w:hAnsi="Times New Roman"/>
          <w:sz w:val="22"/>
          <w:szCs w:val="22"/>
        </w:rPr>
        <w:t xml:space="preserve">Diante do exposto, opino pela </w:t>
      </w:r>
      <w:r w:rsidRPr="00156428">
        <w:rPr>
          <w:rFonts w:ascii="Times New Roman" w:hAnsi="Times New Roman"/>
          <w:b/>
          <w:sz w:val="22"/>
          <w:szCs w:val="22"/>
        </w:rPr>
        <w:t>IMPROCEDÊNCIA</w:t>
      </w:r>
      <w:r w:rsidRPr="00156428">
        <w:rPr>
          <w:rFonts w:ascii="Times New Roman" w:hAnsi="Times New Roman"/>
          <w:sz w:val="22"/>
          <w:szCs w:val="22"/>
        </w:rPr>
        <w:t xml:space="preserve"> da impugnação apresentada pel</w:t>
      </w:r>
      <w:r w:rsidR="00E43459" w:rsidRPr="00156428">
        <w:rPr>
          <w:rFonts w:ascii="Times New Roman" w:hAnsi="Times New Roman"/>
          <w:sz w:val="22"/>
          <w:szCs w:val="22"/>
        </w:rPr>
        <w:t>o</w:t>
      </w:r>
      <w:r w:rsidRPr="00156428">
        <w:rPr>
          <w:rFonts w:ascii="Times New Roman" w:hAnsi="Times New Roman"/>
          <w:sz w:val="22"/>
          <w:szCs w:val="22"/>
        </w:rPr>
        <w:t xml:space="preserve"> Arquitet</w:t>
      </w:r>
      <w:r w:rsidR="00E43459" w:rsidRPr="00156428">
        <w:rPr>
          <w:rFonts w:ascii="Times New Roman" w:hAnsi="Times New Roman"/>
          <w:sz w:val="22"/>
          <w:szCs w:val="22"/>
        </w:rPr>
        <w:t>o</w:t>
      </w:r>
      <w:r w:rsidRPr="00156428">
        <w:rPr>
          <w:rFonts w:ascii="Times New Roman" w:hAnsi="Times New Roman"/>
          <w:sz w:val="22"/>
          <w:szCs w:val="22"/>
        </w:rPr>
        <w:t xml:space="preserve"> e Urbanista</w:t>
      </w:r>
      <w:r w:rsidR="00E43459" w:rsidRPr="00156428">
        <w:rPr>
          <w:rFonts w:ascii="Times New Roman" w:hAnsi="Times New Roman"/>
          <w:sz w:val="22"/>
          <w:szCs w:val="22"/>
        </w:rPr>
        <w:t xml:space="preserve"> DANIEL SCHÜÜR, com o fim de manter o débito relativo às anuidades dos exercícios de 2012, 2013, 2014, 2015, 2016 e 2017, visto que, com base nos elementos probatórios </w:t>
      </w:r>
      <w:r w:rsidR="00156428" w:rsidRPr="00156428">
        <w:rPr>
          <w:rFonts w:ascii="Times New Roman" w:hAnsi="Times New Roman"/>
          <w:sz w:val="22"/>
          <w:szCs w:val="22"/>
        </w:rPr>
        <w:t>que vieram aos</w:t>
      </w:r>
      <w:r w:rsidR="00E43459" w:rsidRPr="00156428">
        <w:rPr>
          <w:rFonts w:ascii="Times New Roman" w:hAnsi="Times New Roman"/>
          <w:sz w:val="22"/>
          <w:szCs w:val="22"/>
        </w:rPr>
        <w:t xml:space="preserve"> autos, resta ausente o necessário amparo documental capaz de comprovar os fatos alegados, mormente referentes ao pedido de interrupção do registro junto ao CREA.</w:t>
      </w:r>
      <w:r w:rsidR="00E43459" w:rsidRPr="00156428">
        <w:rPr>
          <w:rFonts w:ascii="Times New Roman" w:eastAsia="Calibri" w:hAnsi="Times New Roman"/>
          <w:sz w:val="22"/>
          <w:szCs w:val="22"/>
        </w:rPr>
        <w:t xml:space="preserve"> </w:t>
      </w: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156428">
        <w:rPr>
          <w:rFonts w:ascii="Times New Roman" w:eastAsia="Calibri" w:hAnsi="Times New Roman"/>
          <w:sz w:val="22"/>
          <w:szCs w:val="22"/>
        </w:rPr>
        <w:t>Porto Alegre</w:t>
      </w:r>
      <w:r w:rsidR="00465CC0" w:rsidRPr="00156428">
        <w:rPr>
          <w:rFonts w:ascii="Times New Roman" w:eastAsia="Calibri" w:hAnsi="Times New Roman"/>
          <w:sz w:val="22"/>
          <w:szCs w:val="22"/>
        </w:rPr>
        <w:t xml:space="preserve">, </w:t>
      </w:r>
      <w:r w:rsidR="00222656" w:rsidRPr="00156428">
        <w:rPr>
          <w:rFonts w:ascii="Times New Roman" w:eastAsia="Calibri" w:hAnsi="Times New Roman"/>
          <w:sz w:val="22"/>
          <w:szCs w:val="22"/>
        </w:rPr>
        <w:t>20</w:t>
      </w:r>
      <w:r w:rsidR="00174940" w:rsidRPr="00156428">
        <w:rPr>
          <w:rFonts w:ascii="Times New Roman" w:eastAsia="Calibri" w:hAnsi="Times New Roman"/>
          <w:sz w:val="22"/>
          <w:szCs w:val="22"/>
        </w:rPr>
        <w:t xml:space="preserve"> de </w:t>
      </w:r>
      <w:r w:rsidR="004D351A" w:rsidRPr="00156428">
        <w:rPr>
          <w:rFonts w:ascii="Times New Roman" w:eastAsia="Calibri" w:hAnsi="Times New Roman"/>
          <w:sz w:val="22"/>
          <w:szCs w:val="22"/>
        </w:rPr>
        <w:t>março</w:t>
      </w:r>
      <w:r w:rsidR="00174940" w:rsidRPr="00156428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156428">
        <w:rPr>
          <w:rFonts w:ascii="Times New Roman" w:eastAsia="Calibri" w:hAnsi="Times New Roman"/>
          <w:sz w:val="22"/>
          <w:szCs w:val="22"/>
        </w:rPr>
        <w:t>2018</w:t>
      </w:r>
      <w:r w:rsidR="00465CC0" w:rsidRPr="00156428">
        <w:rPr>
          <w:rFonts w:ascii="Times New Roman" w:eastAsia="Calibri" w:hAnsi="Times New Roman"/>
          <w:sz w:val="22"/>
          <w:szCs w:val="22"/>
        </w:rPr>
        <w:t>.</w:t>
      </w:r>
    </w:p>
    <w:p w:rsidR="00156428" w:rsidRPr="00156428" w:rsidRDefault="00156428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222656" w:rsidRDefault="00222656" w:rsidP="00222656">
      <w:pPr>
        <w:spacing w:before="120" w:after="120"/>
        <w:ind w:left="2160" w:firstLine="720"/>
        <w:rPr>
          <w:rFonts w:ascii="Times New Roman" w:hAnsi="Times New Roman"/>
          <w:b/>
        </w:rPr>
      </w:pPr>
      <w:r w:rsidRPr="00222656">
        <w:rPr>
          <w:rFonts w:ascii="Times New Roman" w:hAnsi="Times New Roman"/>
          <w:b/>
        </w:rPr>
        <w:t>RÔMULO PLENTZ GIRALT</w:t>
      </w:r>
    </w:p>
    <w:p w:rsidR="00B624DE" w:rsidRPr="00156428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156428">
        <w:rPr>
          <w:rFonts w:ascii="Times New Roman" w:eastAsia="Calibri" w:hAnsi="Times New Roman"/>
        </w:rPr>
        <w:t xml:space="preserve">  </w:t>
      </w:r>
      <w:r w:rsidR="00465CC0" w:rsidRPr="00156428">
        <w:rPr>
          <w:rFonts w:ascii="Times New Roman" w:eastAsia="Calibri" w:hAnsi="Times New Roman"/>
          <w:sz w:val="22"/>
          <w:szCs w:val="22"/>
        </w:rPr>
        <w:t>Conselheir</w:t>
      </w:r>
      <w:r w:rsidRPr="00156428">
        <w:rPr>
          <w:rFonts w:ascii="Times New Roman" w:eastAsia="Calibri" w:hAnsi="Times New Roman"/>
          <w:sz w:val="22"/>
          <w:szCs w:val="22"/>
        </w:rPr>
        <w:t>o(a)</w:t>
      </w:r>
      <w:r w:rsidR="00465CC0" w:rsidRPr="00156428">
        <w:rPr>
          <w:rFonts w:ascii="Times New Roman" w:eastAsia="Calibri" w:hAnsi="Times New Roman"/>
          <w:sz w:val="22"/>
          <w:szCs w:val="22"/>
        </w:rPr>
        <w:t xml:space="preserve"> Relator</w:t>
      </w:r>
      <w:r w:rsidRPr="00156428">
        <w:rPr>
          <w:rFonts w:ascii="Times New Roman" w:eastAsia="Calibri" w:hAnsi="Times New Roman"/>
          <w:sz w:val="22"/>
          <w:szCs w:val="22"/>
        </w:rPr>
        <w:t>(</w:t>
      </w:r>
      <w:r w:rsidR="00F62A69" w:rsidRPr="00156428">
        <w:rPr>
          <w:rFonts w:ascii="Times New Roman" w:eastAsia="Calibri" w:hAnsi="Times New Roman"/>
          <w:sz w:val="22"/>
          <w:szCs w:val="22"/>
        </w:rPr>
        <w:t>a</w:t>
      </w:r>
      <w:r w:rsidRPr="00156428">
        <w:rPr>
          <w:rFonts w:ascii="Times New Roman" w:eastAsia="Calibri" w:hAnsi="Times New Roman"/>
          <w:sz w:val="22"/>
          <w:szCs w:val="22"/>
        </w:rPr>
        <w:t>)</w:t>
      </w:r>
      <w:r w:rsidR="006271ED" w:rsidRPr="00156428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156428">
        <w:rPr>
          <w:rFonts w:ascii="Times New Roman" w:eastAsia="Calibri" w:hAnsi="Times New Roman"/>
          <w:sz w:val="22"/>
          <w:szCs w:val="22"/>
        </w:rPr>
        <w:tab/>
      </w:r>
      <w:r w:rsidR="006271ED" w:rsidRPr="00156428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156428" w:rsidRDefault="0015642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156428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156428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222656" w:rsidRPr="00626B76" w:rsidTr="0022265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842/2017.</w:t>
            </w:r>
          </w:p>
        </w:tc>
      </w:tr>
      <w:tr w:rsidR="00222656" w:rsidRPr="00626B76" w:rsidTr="0022265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845/2017.</w:t>
            </w:r>
          </w:p>
        </w:tc>
      </w:tr>
      <w:tr w:rsidR="00222656" w:rsidRPr="00626B76" w:rsidTr="0022265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eastAsia="Calibri" w:hAnsi="Times New Roman"/>
              </w:rPr>
              <w:t xml:space="preserve">ARQ URB – </w:t>
            </w:r>
            <w:r w:rsidR="00626B76" w:rsidRPr="00626B76">
              <w:rPr>
                <w:rFonts w:ascii="Times New Roman" w:eastAsia="Calibri" w:hAnsi="Times New Roman"/>
              </w:rPr>
              <w:t>DANIEL SCHÜÜR</w:t>
            </w:r>
          </w:p>
        </w:tc>
      </w:tr>
      <w:tr w:rsidR="00222656" w:rsidRPr="00626B76" w:rsidTr="0022265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highlight w:val="yellow"/>
              </w:rPr>
            </w:pPr>
            <w:r w:rsidRPr="00626B76">
              <w:rPr>
                <w:rFonts w:ascii="Times New Roman" w:hAnsi="Times New Roman"/>
              </w:rPr>
              <w:t>COBRANÇA DE ANUIDADE.</w:t>
            </w:r>
          </w:p>
        </w:tc>
      </w:tr>
      <w:tr w:rsidR="00222656" w:rsidRPr="00626B76" w:rsidTr="0022265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22656" w:rsidRPr="00626B76" w:rsidRDefault="00222656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CONSELHEIRO(A) RÔMULO PLENTZ GIRALT.</w:t>
            </w:r>
          </w:p>
        </w:tc>
      </w:tr>
      <w:tr w:rsidR="00000ACA" w:rsidRPr="00626B76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26B76" w:rsidRDefault="00000ACA" w:rsidP="00626B7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  <w:b/>
              </w:rPr>
              <w:t xml:space="preserve">DELIBERAÇÃO Nº </w:t>
            </w:r>
            <w:r w:rsidR="00951C28" w:rsidRPr="00626B76">
              <w:rPr>
                <w:rFonts w:ascii="Times New Roman" w:hAnsi="Times New Roman"/>
                <w:b/>
              </w:rPr>
              <w:t>029/</w:t>
            </w:r>
            <w:r w:rsidRPr="00626B76">
              <w:rPr>
                <w:rFonts w:ascii="Times New Roman" w:hAnsi="Times New Roman"/>
                <w:b/>
              </w:rPr>
              <w:t>201</w:t>
            </w:r>
            <w:r w:rsidR="003241C2" w:rsidRPr="00626B76">
              <w:rPr>
                <w:rFonts w:ascii="Times New Roman" w:hAnsi="Times New Roman"/>
                <w:b/>
              </w:rPr>
              <w:t>8</w:t>
            </w:r>
            <w:r w:rsidR="00425CB0" w:rsidRPr="00626B76">
              <w:rPr>
                <w:rFonts w:ascii="Times New Roman" w:hAnsi="Times New Roman"/>
                <w:b/>
              </w:rPr>
              <w:t xml:space="preserve"> – CPFI-</w:t>
            </w:r>
            <w:r w:rsidRPr="00626B76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F179ED" w:rsidRPr="00626B76" w:rsidRDefault="00F179ED" w:rsidP="00626B7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951C28" w:rsidRPr="00626B76" w:rsidRDefault="00951C28" w:rsidP="00626B7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</w:rPr>
        <w:t>A COMISSÃO DE PLANEJAMENTO E FINANÇAS CPFI-CAU/RS, reunida ordinariamente em Porto Alegre/RS, na sede do CAU/RS, no dia 20</w:t>
      </w:r>
      <w:r w:rsidRPr="00626B76">
        <w:rPr>
          <w:rFonts w:ascii="Times New Roman" w:eastAsia="Calibri" w:hAnsi="Times New Roman"/>
        </w:rPr>
        <w:t xml:space="preserve"> de março de 2018</w:t>
      </w:r>
      <w:r w:rsidRPr="00626B76">
        <w:rPr>
          <w:rFonts w:ascii="Times New Roman" w:hAnsi="Times New Roman"/>
        </w:rPr>
        <w:t>, no uso das competências que lhe confere o artigo 97, incisos VIII e IX, ambos do Regimento Interno do CAU/RS, a Deliberação CPF-CAU/RS nº 035/2016 e, ainda, observando a Deliberação Plenária CAU/RS nº 514/2016, após análise do assunto em epígrafe,</w:t>
      </w:r>
    </w:p>
    <w:p w:rsidR="00F179ED" w:rsidRPr="00626B76" w:rsidRDefault="00F179ED" w:rsidP="00626B7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b/>
        </w:rPr>
      </w:pPr>
    </w:p>
    <w:p w:rsidR="004052D8" w:rsidRPr="00626B76" w:rsidRDefault="00AE0258" w:rsidP="00626B7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  <w:b/>
        </w:rPr>
        <w:t>DELIBEROU</w:t>
      </w:r>
      <w:r w:rsidR="005B5C6B" w:rsidRPr="00626B76">
        <w:rPr>
          <w:rFonts w:ascii="Times New Roman" w:hAnsi="Times New Roman"/>
        </w:rPr>
        <w:t xml:space="preserve"> por</w:t>
      </w:r>
      <w:r w:rsidRPr="00626B76">
        <w:rPr>
          <w:rFonts w:ascii="Times New Roman" w:hAnsi="Times New Roman"/>
        </w:rPr>
        <w:t>:</w:t>
      </w:r>
    </w:p>
    <w:p w:rsidR="00F179ED" w:rsidRPr="00626B76" w:rsidRDefault="00F179ED" w:rsidP="00626B76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</w:rPr>
      </w:pPr>
    </w:p>
    <w:p w:rsidR="003241C2" w:rsidRPr="00626B76" w:rsidRDefault="004052D8" w:rsidP="00626B7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  <w:b/>
          <w:u w:val="single"/>
        </w:rPr>
        <w:t>A</w:t>
      </w:r>
      <w:r w:rsidR="00EA7A90" w:rsidRPr="00626B76">
        <w:rPr>
          <w:rFonts w:ascii="Times New Roman" w:hAnsi="Times New Roman"/>
          <w:b/>
          <w:u w:val="single"/>
        </w:rPr>
        <w:t>prova</w:t>
      </w:r>
      <w:r w:rsidR="00756266" w:rsidRPr="00626B76">
        <w:rPr>
          <w:rFonts w:ascii="Times New Roman" w:hAnsi="Times New Roman"/>
          <w:b/>
          <w:u w:val="single"/>
        </w:rPr>
        <w:t>r</w:t>
      </w:r>
      <w:r w:rsidR="00756266" w:rsidRPr="00626B76">
        <w:rPr>
          <w:rFonts w:ascii="Times New Roman" w:hAnsi="Times New Roman"/>
        </w:rPr>
        <w:t xml:space="preserve"> o</w:t>
      </w:r>
      <w:r w:rsidR="002A4D81" w:rsidRPr="00626B76">
        <w:rPr>
          <w:rFonts w:ascii="Times New Roman" w:hAnsi="Times New Roman"/>
        </w:rPr>
        <w:t xml:space="preserve"> parecer d</w:t>
      </w:r>
      <w:r w:rsidR="00EF3EC9" w:rsidRPr="00626B76">
        <w:rPr>
          <w:rFonts w:ascii="Times New Roman" w:hAnsi="Times New Roman"/>
        </w:rPr>
        <w:t>o(</w:t>
      </w:r>
      <w:r w:rsidR="00F62A69" w:rsidRPr="00626B76">
        <w:rPr>
          <w:rFonts w:ascii="Times New Roman" w:hAnsi="Times New Roman"/>
        </w:rPr>
        <w:t>a</w:t>
      </w:r>
      <w:r w:rsidR="00EF3EC9" w:rsidRPr="00626B76">
        <w:rPr>
          <w:rFonts w:ascii="Times New Roman" w:hAnsi="Times New Roman"/>
        </w:rPr>
        <w:t>)</w:t>
      </w:r>
      <w:r w:rsidR="002A4D81" w:rsidRPr="00626B76">
        <w:rPr>
          <w:rFonts w:ascii="Times New Roman" w:hAnsi="Times New Roman"/>
        </w:rPr>
        <w:t xml:space="preserve"> Conselheir</w:t>
      </w:r>
      <w:r w:rsidR="00EF3EC9" w:rsidRPr="00626B76">
        <w:rPr>
          <w:rFonts w:ascii="Times New Roman" w:hAnsi="Times New Roman"/>
        </w:rPr>
        <w:t>o(</w:t>
      </w:r>
      <w:r w:rsidR="00F62A69" w:rsidRPr="00626B76">
        <w:rPr>
          <w:rFonts w:ascii="Times New Roman" w:hAnsi="Times New Roman"/>
        </w:rPr>
        <w:t>a</w:t>
      </w:r>
      <w:r w:rsidR="00EF3EC9" w:rsidRPr="00626B76">
        <w:rPr>
          <w:rFonts w:ascii="Times New Roman" w:hAnsi="Times New Roman"/>
        </w:rPr>
        <w:t>)</w:t>
      </w:r>
      <w:r w:rsidR="002A4D81" w:rsidRPr="00626B76">
        <w:rPr>
          <w:rFonts w:ascii="Times New Roman" w:hAnsi="Times New Roman"/>
        </w:rPr>
        <w:t xml:space="preserve"> Relator</w:t>
      </w:r>
      <w:r w:rsidR="00EF3EC9" w:rsidRPr="00626B76">
        <w:rPr>
          <w:rFonts w:ascii="Times New Roman" w:hAnsi="Times New Roman"/>
        </w:rPr>
        <w:t>(a)</w:t>
      </w:r>
      <w:r w:rsidR="002A4D81" w:rsidRPr="00626B76">
        <w:rPr>
          <w:rFonts w:ascii="Times New Roman" w:hAnsi="Times New Roman"/>
        </w:rPr>
        <w:t xml:space="preserve">, </w:t>
      </w:r>
      <w:r w:rsidR="007C68A8" w:rsidRPr="00626B76">
        <w:rPr>
          <w:rFonts w:ascii="Times New Roman" w:hAnsi="Times New Roman"/>
        </w:rPr>
        <w:t xml:space="preserve">entendendo pela </w:t>
      </w:r>
      <w:r w:rsidR="00156428" w:rsidRPr="00626B76">
        <w:rPr>
          <w:rFonts w:ascii="Times New Roman" w:hAnsi="Times New Roman"/>
        </w:rPr>
        <w:t>im</w:t>
      </w:r>
      <w:r w:rsidR="003241C2" w:rsidRPr="00626B76">
        <w:rPr>
          <w:rFonts w:ascii="Times New Roman" w:hAnsi="Times New Roman"/>
        </w:rPr>
        <w:t>procedência da impugnação oferecida pel</w:t>
      </w:r>
      <w:r w:rsidR="00156428" w:rsidRPr="00626B76">
        <w:rPr>
          <w:rFonts w:ascii="Times New Roman" w:hAnsi="Times New Roman"/>
        </w:rPr>
        <w:t>o Profissional Arquiteto e Urbanista DANIEL SCHÜÜR</w:t>
      </w:r>
      <w:r w:rsidR="003241C2" w:rsidRPr="00626B76">
        <w:rPr>
          <w:rFonts w:ascii="Times New Roman" w:eastAsia="Calibri" w:hAnsi="Times New Roman"/>
        </w:rPr>
        <w:t>, com o fim de</w:t>
      </w:r>
      <w:r w:rsidR="003241C2" w:rsidRPr="00626B76">
        <w:rPr>
          <w:rFonts w:ascii="Times New Roman" w:hAnsi="Times New Roman"/>
        </w:rPr>
        <w:t xml:space="preserve">, com base nos elementos probatórios existentes nos autos, </w:t>
      </w:r>
      <w:r w:rsidR="00F179ED" w:rsidRPr="00626B76">
        <w:rPr>
          <w:rFonts w:ascii="Times New Roman" w:hAnsi="Times New Roman"/>
        </w:rPr>
        <w:t>manter</w:t>
      </w:r>
      <w:r w:rsidR="003241C2" w:rsidRPr="00626B76">
        <w:rPr>
          <w:rFonts w:ascii="Times New Roman" w:hAnsi="Times New Roman"/>
        </w:rPr>
        <w:t xml:space="preserve"> o débito relativo às anuidades dos exercícios de 2012, 2013, 2014, 2015, 2016 e 2017, visto que</w:t>
      </w:r>
      <w:r w:rsidR="006433F9" w:rsidRPr="00626B76">
        <w:rPr>
          <w:rFonts w:ascii="Times New Roman" w:hAnsi="Times New Roman"/>
        </w:rPr>
        <w:t xml:space="preserve">, com base nos </w:t>
      </w:r>
      <w:r w:rsidR="00F179ED" w:rsidRPr="00626B76">
        <w:rPr>
          <w:rFonts w:ascii="Times New Roman" w:hAnsi="Times New Roman"/>
        </w:rPr>
        <w:t xml:space="preserve">elementos probatórios que vieram aos autos, resta ausente o necessário amparo documental capaz de comprovar os fatos alegados, mormente referentes ao pedido de interrupção do registro junto ao CREA. </w:t>
      </w:r>
    </w:p>
    <w:p w:rsidR="00EA18A5" w:rsidRPr="00626B76" w:rsidRDefault="004052D8" w:rsidP="00626B7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  <w:b/>
          <w:u w:val="single"/>
        </w:rPr>
        <w:t>Encaminhar</w:t>
      </w:r>
      <w:r w:rsidRPr="00626B76">
        <w:rPr>
          <w:rFonts w:ascii="Times New Roman" w:hAnsi="Times New Roman"/>
        </w:rPr>
        <w:t xml:space="preserve"> à Gerência Financeira para</w:t>
      </w:r>
      <w:r w:rsidR="00EA18A5" w:rsidRPr="00626B76">
        <w:rPr>
          <w:rFonts w:ascii="Times New Roman" w:hAnsi="Times New Roman"/>
        </w:rPr>
        <w:t xml:space="preserve"> </w:t>
      </w:r>
      <w:r w:rsidR="00EA18A5" w:rsidRPr="00626B76">
        <w:rPr>
          <w:rFonts w:ascii="Times New Roman" w:hAnsi="Times New Roman"/>
          <w:b/>
        </w:rPr>
        <w:t>notificar</w:t>
      </w:r>
      <w:r w:rsidR="00EA18A5" w:rsidRPr="00626B76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26B76" w:rsidRDefault="00EA7A90" w:rsidP="00626B7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  <w:b/>
          <w:u w:val="single"/>
        </w:rPr>
        <w:t>Encaminhar</w:t>
      </w:r>
      <w:r w:rsidR="00CC4FF0" w:rsidRPr="00626B76">
        <w:rPr>
          <w:rFonts w:ascii="Times New Roman" w:hAnsi="Times New Roman"/>
        </w:rPr>
        <w:t xml:space="preserve"> </w:t>
      </w:r>
      <w:r w:rsidR="00EA18A5" w:rsidRPr="00626B76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26B76">
        <w:rPr>
          <w:rFonts w:ascii="Times New Roman" w:hAnsi="Times New Roman"/>
        </w:rPr>
        <w:t>.</w:t>
      </w:r>
    </w:p>
    <w:p w:rsidR="00CC4FF0" w:rsidRPr="00626B76" w:rsidRDefault="00EA7A90" w:rsidP="00626B7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  <w:b/>
          <w:u w:val="single"/>
        </w:rPr>
        <w:t>Submeter</w:t>
      </w:r>
      <w:r w:rsidR="00CC4FF0" w:rsidRPr="00626B76">
        <w:rPr>
          <w:rFonts w:ascii="Times New Roman" w:hAnsi="Times New Roman"/>
        </w:rPr>
        <w:t xml:space="preserve"> </w:t>
      </w:r>
      <w:r w:rsidR="00EA18A5" w:rsidRPr="00626B76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26B76">
        <w:rPr>
          <w:rFonts w:ascii="Times New Roman" w:hAnsi="Times New Roman"/>
        </w:rPr>
        <w:t>.</w:t>
      </w:r>
    </w:p>
    <w:p w:rsidR="003E419B" w:rsidRPr="00626B76" w:rsidRDefault="00EA18A5" w:rsidP="00626B76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</w:rPr>
      </w:pPr>
      <w:r w:rsidRPr="00626B76">
        <w:rPr>
          <w:rFonts w:ascii="Times New Roman" w:hAnsi="Times New Roman"/>
          <w:b/>
          <w:u w:val="single"/>
        </w:rPr>
        <w:t>Encaminhar</w:t>
      </w:r>
      <w:r w:rsidR="003E419B" w:rsidRPr="00626B76">
        <w:rPr>
          <w:rFonts w:ascii="Times New Roman" w:hAnsi="Times New Roman"/>
        </w:rPr>
        <w:t>, após o julgamento efetuado pelo Plenário do CAU/RS</w:t>
      </w:r>
      <w:r w:rsidR="00F179ED" w:rsidRPr="00626B76">
        <w:rPr>
          <w:rFonts w:ascii="Times New Roman" w:hAnsi="Times New Roman"/>
        </w:rPr>
        <w:t xml:space="preserve">, à Gerência Financeira para </w:t>
      </w:r>
      <w:r w:rsidR="00F179ED" w:rsidRPr="00626B76">
        <w:rPr>
          <w:rFonts w:ascii="Times New Roman" w:hAnsi="Times New Roman"/>
          <w:b/>
        </w:rPr>
        <w:t>notificar</w:t>
      </w:r>
      <w:r w:rsidR="00F179ED" w:rsidRPr="00626B76">
        <w:rPr>
          <w:rFonts w:ascii="Times New Roman" w:hAnsi="Times New Roman"/>
        </w:rPr>
        <w:t xml:space="preserve"> a parte interessada do teor da decisão, informando-lhe, em caso de manutenção desta, que o exercício de atividades afeitas à Arquitetura e Urbanismo dependerá de registro neste Conselho.</w:t>
      </w:r>
    </w:p>
    <w:p w:rsidR="00626B76" w:rsidRPr="00626B76" w:rsidRDefault="00626B76" w:rsidP="00626B76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</w:rPr>
      </w:pPr>
    </w:p>
    <w:p w:rsidR="00AE0258" w:rsidRPr="00626B76" w:rsidRDefault="00785F18" w:rsidP="00626B76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</w:rPr>
      </w:pPr>
      <w:r w:rsidRPr="00626B76">
        <w:rPr>
          <w:rFonts w:ascii="Times New Roman" w:eastAsia="Calibri" w:hAnsi="Times New Roman"/>
        </w:rPr>
        <w:t xml:space="preserve">Porto Alegre, </w:t>
      </w:r>
      <w:r w:rsidR="00F179ED" w:rsidRPr="00626B76">
        <w:rPr>
          <w:rFonts w:ascii="Times New Roman" w:eastAsia="Calibri" w:hAnsi="Times New Roman"/>
        </w:rPr>
        <w:t>20</w:t>
      </w:r>
      <w:r w:rsidR="003241C2" w:rsidRPr="00626B76">
        <w:rPr>
          <w:rFonts w:ascii="Times New Roman" w:eastAsia="Calibri" w:hAnsi="Times New Roman"/>
        </w:rPr>
        <w:t xml:space="preserve"> de </w:t>
      </w:r>
      <w:r w:rsidR="004D351A" w:rsidRPr="00626B76">
        <w:rPr>
          <w:rFonts w:ascii="Times New Roman" w:eastAsia="Calibri" w:hAnsi="Times New Roman"/>
        </w:rPr>
        <w:t>março</w:t>
      </w:r>
      <w:r w:rsidR="003241C2" w:rsidRPr="00626B76">
        <w:rPr>
          <w:rFonts w:ascii="Times New Roman" w:eastAsia="Calibri" w:hAnsi="Times New Roman"/>
        </w:rPr>
        <w:t xml:space="preserve"> de 2018</w:t>
      </w:r>
      <w:r w:rsidR="00AE0258" w:rsidRPr="00626B76">
        <w:rPr>
          <w:rFonts w:ascii="Times New Roman" w:hAnsi="Times New Roman"/>
        </w:rPr>
        <w:t>.</w:t>
      </w:r>
    </w:p>
    <w:p w:rsidR="00F179ED" w:rsidRPr="00626B76" w:rsidRDefault="00F179ED" w:rsidP="00626B76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227"/>
        <w:gridCol w:w="4776"/>
      </w:tblGrid>
      <w:tr w:rsidR="004130E0" w:rsidRPr="00626B76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  <w:b/>
              </w:rPr>
              <w:t>RÔMULO PLENTZ GIRALT</w:t>
            </w:r>
          </w:p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626B7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  <w:b/>
              </w:rPr>
              <w:t>ALVINO JARA</w:t>
            </w:r>
          </w:p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626B7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626B76">
              <w:rPr>
                <w:rFonts w:ascii="Times New Roman" w:hAnsi="Times New Roman"/>
                <w:b/>
              </w:rPr>
              <w:t>RAQUEL RHODEN BRESOLIN</w:t>
            </w:r>
          </w:p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4130E0" w:rsidRPr="00626B76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  <w:b/>
              </w:rPr>
              <w:t>EMILIO MERINO DOMINGUEZ</w:t>
            </w:r>
          </w:p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626B76" w:rsidRDefault="004130E0" w:rsidP="00626B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626B76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A56089" w:rsidRPr="00626B76" w:rsidRDefault="00A56089" w:rsidP="00626B7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626B7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E0" w:rsidRDefault="00F353E0">
      <w:r>
        <w:separator/>
      </w:r>
    </w:p>
  </w:endnote>
  <w:endnote w:type="continuationSeparator" w:id="0">
    <w:p w:rsidR="00F353E0" w:rsidRDefault="00F3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E0" w:rsidRDefault="00F353E0">
      <w:r>
        <w:separator/>
      </w:r>
    </w:p>
  </w:footnote>
  <w:footnote w:type="continuationSeparator" w:id="0">
    <w:p w:rsidR="00F353E0" w:rsidRDefault="00F353E0">
      <w:r>
        <w:continuationSeparator/>
      </w:r>
    </w:p>
  </w:footnote>
  <w:footnote w:id="1">
    <w:p w:rsidR="00524F3F" w:rsidRPr="007335BA" w:rsidRDefault="00524F3F" w:rsidP="00524F3F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1245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56428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2656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E6969"/>
    <w:rsid w:val="002F3569"/>
    <w:rsid w:val="003039EF"/>
    <w:rsid w:val="00304DB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251"/>
    <w:rsid w:val="00425CB0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3D6B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4F3F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B06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5871"/>
    <w:rsid w:val="006245CC"/>
    <w:rsid w:val="00626B76"/>
    <w:rsid w:val="006271ED"/>
    <w:rsid w:val="00627846"/>
    <w:rsid w:val="00627E96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5D66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613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1C28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A7D36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070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3459"/>
    <w:rsid w:val="00E444E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79ED"/>
    <w:rsid w:val="00F24FD2"/>
    <w:rsid w:val="00F303FE"/>
    <w:rsid w:val="00F353E0"/>
    <w:rsid w:val="00F455A6"/>
    <w:rsid w:val="00F45818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3D77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FFC87D5-8515-40E2-AC5E-B1F3D483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E472FD-BFFC-48E5-A517-0044ED25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187</TotalTime>
  <Pages>5</Pages>
  <Words>1952</Words>
  <Characters>10543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2018-03-20T17:10:00Z</cp:lastPrinted>
  <dcterms:created xsi:type="dcterms:W3CDTF">2018-03-13T17:16:00Z</dcterms:created>
  <dcterms:modified xsi:type="dcterms:W3CDTF">2018-03-20T17:10:00Z</dcterms:modified>
  <cp:contentStatus>2012, 2013, 2014, 2015 e 2016</cp:contentStatus>
</cp:coreProperties>
</file>