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BC4F70" w:rsidP="008216CF">
            <w:pPr>
              <w:tabs>
                <w:tab w:val="left" w:pos="1418"/>
              </w:tabs>
              <w:rPr>
                <w:rFonts w:ascii="Times New Roman" w:hAnsi="Times New Roman"/>
                <w:sz w:val="22"/>
                <w:szCs w:val="22"/>
              </w:rPr>
            </w:pPr>
            <w:r w:rsidRPr="00684646">
              <w:rPr>
                <w:rFonts w:ascii="Times New Roman" w:hAnsi="Times New Roman"/>
                <w:sz w:val="22"/>
                <w:szCs w:val="22"/>
              </w:rPr>
              <w:t>180</w:t>
            </w:r>
            <w:r w:rsidR="009519EB" w:rsidRPr="00684646">
              <w:rPr>
                <w:rFonts w:ascii="Times New Roman" w:hAnsi="Times New Roman"/>
                <w:sz w:val="22"/>
                <w:szCs w:val="22"/>
              </w:rPr>
              <w:t>/201</w:t>
            </w:r>
            <w:r w:rsidR="008059D0" w:rsidRPr="00684646">
              <w:rPr>
                <w:rFonts w:ascii="Times New Roman" w:hAnsi="Times New Roman"/>
                <w:sz w:val="22"/>
                <w:szCs w:val="22"/>
              </w:rPr>
              <w:t>8</w:t>
            </w:r>
          </w:p>
        </w:tc>
      </w:tr>
      <w:tr w:rsidR="00AE0258"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BC4F70" w:rsidP="008216CF">
            <w:pPr>
              <w:tabs>
                <w:tab w:val="left" w:pos="1418"/>
              </w:tabs>
              <w:rPr>
                <w:rFonts w:ascii="Times New Roman" w:hAnsi="Times New Roman"/>
                <w:sz w:val="22"/>
                <w:szCs w:val="22"/>
              </w:rPr>
            </w:pPr>
            <w:r w:rsidRPr="00684646">
              <w:rPr>
                <w:rFonts w:ascii="Times New Roman" w:hAnsi="Times New Roman"/>
                <w:sz w:val="22"/>
                <w:szCs w:val="22"/>
              </w:rPr>
              <w:t>997</w:t>
            </w:r>
            <w:r w:rsidR="008059D0" w:rsidRPr="00684646">
              <w:rPr>
                <w:rFonts w:ascii="Times New Roman" w:hAnsi="Times New Roman"/>
                <w:sz w:val="22"/>
                <w:szCs w:val="22"/>
              </w:rPr>
              <w:t>/2018</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684646" w:rsidRDefault="008216CF" w:rsidP="001812D1">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sidR="00BC4F70" w:rsidRPr="00684646">
              <w:rPr>
                <w:rFonts w:ascii="Times New Roman" w:eastAsia="Calibri" w:hAnsi="Times New Roman"/>
                <w:sz w:val="22"/>
                <w:szCs w:val="22"/>
              </w:rPr>
              <w:t>MARIA CRISTINA DIAS LAY</w:t>
            </w:r>
          </w:p>
          <w:p w:rsidR="00F72814" w:rsidRPr="00684646" w:rsidRDefault="004B32EE" w:rsidP="008216CF">
            <w:pPr>
              <w:tabs>
                <w:tab w:val="left" w:pos="1418"/>
              </w:tabs>
              <w:rPr>
                <w:rFonts w:ascii="Times New Roman" w:eastAsia="Calibri" w:hAnsi="Times New Roman"/>
                <w:sz w:val="22"/>
                <w:szCs w:val="22"/>
              </w:rPr>
            </w:pPr>
            <w:r w:rsidRPr="00684646">
              <w:rPr>
                <w:rFonts w:ascii="Times New Roman" w:eastAsia="Calibri" w:hAnsi="Times New Roman"/>
                <w:sz w:val="22"/>
                <w:szCs w:val="22"/>
              </w:rPr>
              <w:t>CPF</w:t>
            </w:r>
            <w:r w:rsidR="00F72814" w:rsidRPr="00684646">
              <w:rPr>
                <w:rFonts w:ascii="Times New Roman" w:eastAsia="Calibri" w:hAnsi="Times New Roman"/>
                <w:sz w:val="22"/>
                <w:szCs w:val="22"/>
              </w:rPr>
              <w:t xml:space="preserve"> </w:t>
            </w:r>
            <w:r w:rsidR="00BC4F70" w:rsidRPr="00684646">
              <w:rPr>
                <w:rFonts w:ascii="Times New Roman" w:eastAsia="Calibri" w:hAnsi="Times New Roman"/>
                <w:sz w:val="22"/>
                <w:szCs w:val="22"/>
              </w:rPr>
              <w:t>292.353.830-72</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1F2DC5">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4F2016">
              <w:rPr>
                <w:rFonts w:ascii="Times New Roman" w:hAnsi="Times New Roman"/>
                <w:sz w:val="22"/>
                <w:szCs w:val="22"/>
              </w:rPr>
              <w:t>ALVINO JARA</w:t>
            </w:r>
          </w:p>
        </w:tc>
      </w:tr>
      <w:tr w:rsidR="006B5082" w:rsidRPr="0068464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Pr="00684646"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BC4F70" w:rsidRPr="00684646">
        <w:rPr>
          <w:rFonts w:ascii="Times New Roman" w:eastAsia="Calibri" w:hAnsi="Times New Roman"/>
          <w:sz w:val="22"/>
          <w:szCs w:val="22"/>
        </w:rPr>
        <w:t>10</w:t>
      </w:r>
      <w:r w:rsidR="00F8201B" w:rsidRPr="00684646">
        <w:rPr>
          <w:rFonts w:ascii="Times New Roman" w:eastAsia="Calibri" w:hAnsi="Times New Roman"/>
          <w:sz w:val="22"/>
          <w:szCs w:val="22"/>
        </w:rPr>
        <w:t xml:space="preserve"> de </w:t>
      </w:r>
      <w:r w:rsidR="00BC4F70" w:rsidRPr="00684646">
        <w:rPr>
          <w:rFonts w:ascii="Times New Roman" w:eastAsia="Calibri" w:hAnsi="Times New Roman"/>
          <w:sz w:val="22"/>
          <w:szCs w:val="22"/>
        </w:rPr>
        <w:t>abril</w:t>
      </w:r>
      <w:r w:rsidR="009519EB" w:rsidRPr="00684646">
        <w:rPr>
          <w:rFonts w:ascii="Times New Roman" w:eastAsia="Calibri" w:hAnsi="Times New Roman"/>
          <w:sz w:val="22"/>
          <w:szCs w:val="22"/>
        </w:rPr>
        <w:t xml:space="preserve"> 201</w:t>
      </w:r>
      <w:r w:rsidR="008059D0" w:rsidRPr="00684646">
        <w:rPr>
          <w:rFonts w:ascii="Times New Roman" w:eastAsia="Calibri" w:hAnsi="Times New Roman"/>
          <w:sz w:val="22"/>
          <w:szCs w:val="22"/>
        </w:rPr>
        <w:t>8</w:t>
      </w:r>
      <w:r w:rsidRPr="00684646">
        <w:rPr>
          <w:rFonts w:ascii="Times New Roman" w:eastAsia="Calibri" w:hAnsi="Times New Roman"/>
          <w:sz w:val="22"/>
          <w:szCs w:val="22"/>
        </w:rPr>
        <w:t xml:space="preserve">, a Gerência Financeira do CAU/RS encaminhou a Notificação Administrativa nº </w:t>
      </w:r>
      <w:r w:rsidR="00BC4F70" w:rsidRPr="00684646">
        <w:rPr>
          <w:rFonts w:ascii="Times New Roman" w:eastAsia="Calibri" w:hAnsi="Times New Roman"/>
          <w:sz w:val="22"/>
          <w:szCs w:val="22"/>
        </w:rPr>
        <w:t>997</w:t>
      </w:r>
      <w:r w:rsidR="009519EB" w:rsidRPr="00684646">
        <w:rPr>
          <w:rFonts w:ascii="Times New Roman" w:eastAsia="Calibri" w:hAnsi="Times New Roman"/>
          <w:sz w:val="22"/>
          <w:szCs w:val="22"/>
        </w:rPr>
        <w:t>/2018</w:t>
      </w:r>
      <w:r w:rsidR="006E1A9B" w:rsidRPr="00684646">
        <w:rPr>
          <w:rFonts w:ascii="Times New Roman" w:eastAsia="Calibri" w:hAnsi="Times New Roman"/>
          <w:sz w:val="22"/>
          <w:szCs w:val="22"/>
        </w:rPr>
        <w:t xml:space="preserve"> à</w:t>
      </w:r>
      <w:r w:rsidR="008216CF" w:rsidRPr="00684646">
        <w:rPr>
          <w:rFonts w:ascii="Times New Roman" w:eastAsia="Calibri" w:hAnsi="Times New Roman"/>
          <w:sz w:val="22"/>
          <w:szCs w:val="22"/>
        </w:rPr>
        <w:t xml:space="preserve"> Arquiteta e Urbanista </w:t>
      </w:r>
      <w:r w:rsidR="00BC4F70" w:rsidRPr="00684646">
        <w:rPr>
          <w:rFonts w:ascii="Times New Roman" w:eastAsia="Calibri" w:hAnsi="Times New Roman"/>
          <w:sz w:val="22"/>
          <w:szCs w:val="22"/>
        </w:rPr>
        <w:t>MARIA CRISTINA DIAS LAY</w:t>
      </w:r>
      <w:r w:rsidR="008A4DC4" w:rsidRPr="00684646">
        <w:rPr>
          <w:rFonts w:ascii="Times New Roman" w:hAnsi="Times New Roman"/>
          <w:sz w:val="22"/>
          <w:szCs w:val="22"/>
        </w:rPr>
        <w:t>.</w:t>
      </w:r>
      <w:r w:rsidR="00597495" w:rsidRPr="00684646">
        <w:rPr>
          <w:rFonts w:ascii="Times New Roman" w:eastAsia="Calibri" w:hAnsi="Times New Roman"/>
          <w:sz w:val="22"/>
          <w:szCs w:val="22"/>
        </w:rPr>
        <w:t xml:space="preserve"> </w:t>
      </w:r>
      <w:r w:rsidR="006E1A9B" w:rsidRPr="00684646">
        <w:rPr>
          <w:rFonts w:ascii="Times New Roman" w:eastAsia="Calibri" w:hAnsi="Times New Roman"/>
          <w:sz w:val="22"/>
          <w:szCs w:val="22"/>
        </w:rPr>
        <w:t xml:space="preserve">– CPF </w:t>
      </w:r>
      <w:r w:rsidR="00BC4F70" w:rsidRPr="00684646">
        <w:rPr>
          <w:rFonts w:ascii="Times New Roman" w:eastAsia="Calibri" w:hAnsi="Times New Roman"/>
          <w:sz w:val="22"/>
          <w:szCs w:val="22"/>
        </w:rPr>
        <w:t>292.353.830-72</w:t>
      </w:r>
      <w:r w:rsidR="008A4DC4" w:rsidRPr="00684646">
        <w:rPr>
          <w:rFonts w:ascii="Times New Roman" w:hAnsi="Times New Roman"/>
          <w:sz w:val="22"/>
          <w:szCs w:val="22"/>
        </w:rPr>
        <w:t xml:space="preserve">, </w:t>
      </w:r>
      <w:r w:rsidRPr="00684646">
        <w:rPr>
          <w:rFonts w:ascii="Times New Roman" w:eastAsia="Calibri" w:hAnsi="Times New Roman"/>
          <w:sz w:val="22"/>
          <w:szCs w:val="22"/>
        </w:rPr>
        <w:t>concedendo-lhe o prazo de 30 (trinta) dias para saldar ou parcelar o débito referente às anuidades de 2013, 2014, 2015, 2016 e 2017 em atraso ou para oferecer impugnação escrita a esta Comissão</w:t>
      </w:r>
      <w:r w:rsidR="00A813B8" w:rsidRPr="00684646">
        <w:rPr>
          <w:rFonts w:ascii="Times New Roman" w:eastAsia="Calibri" w:hAnsi="Times New Roman"/>
          <w:sz w:val="22"/>
          <w:szCs w:val="22"/>
        </w:rPr>
        <w:t xml:space="preserve"> (fl. </w:t>
      </w:r>
      <w:r w:rsidR="00BC4F70" w:rsidRPr="00684646">
        <w:rPr>
          <w:rFonts w:ascii="Times New Roman" w:eastAsia="Calibri" w:hAnsi="Times New Roman"/>
          <w:sz w:val="22"/>
          <w:szCs w:val="22"/>
        </w:rPr>
        <w:t>11</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6C3AAC" w:rsidRPr="00684646"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Notificada</w:t>
      </w:r>
      <w:r w:rsidR="007F77A3" w:rsidRPr="00684646">
        <w:rPr>
          <w:rFonts w:ascii="Times New Roman" w:eastAsia="Calibri" w:hAnsi="Times New Roman"/>
          <w:sz w:val="22"/>
          <w:szCs w:val="22"/>
        </w:rPr>
        <w:t xml:space="preserve"> </w:t>
      </w:r>
      <w:r w:rsidRPr="00684646">
        <w:rPr>
          <w:rFonts w:ascii="Times New Roman" w:eastAsia="Calibri" w:hAnsi="Times New Roman"/>
          <w:sz w:val="22"/>
          <w:szCs w:val="22"/>
        </w:rPr>
        <w:t>(fl.1</w:t>
      </w:r>
      <w:r w:rsidR="00BC4F70" w:rsidRPr="00684646">
        <w:rPr>
          <w:rFonts w:ascii="Times New Roman" w:eastAsia="Calibri" w:hAnsi="Times New Roman"/>
          <w:sz w:val="22"/>
          <w:szCs w:val="22"/>
        </w:rPr>
        <w:t>2</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5A4C74" w:rsidRPr="00684646">
        <w:rPr>
          <w:rFonts w:ascii="Times New Roman" w:eastAsia="Calibri" w:hAnsi="Times New Roman"/>
          <w:sz w:val="22"/>
          <w:szCs w:val="22"/>
        </w:rPr>
        <w:t>a</w:t>
      </w:r>
      <w:r w:rsidR="006E1A9B" w:rsidRPr="00684646">
        <w:rPr>
          <w:rFonts w:ascii="Times New Roman" w:eastAsia="Calibri" w:hAnsi="Times New Roman"/>
          <w:sz w:val="22"/>
          <w:szCs w:val="22"/>
        </w:rPr>
        <w:t xml:space="preserve"> </w:t>
      </w:r>
      <w:r w:rsidR="00CD3E14" w:rsidRPr="00684646">
        <w:rPr>
          <w:rFonts w:ascii="Times New Roman" w:eastAsia="Calibri" w:hAnsi="Times New Roman"/>
          <w:sz w:val="22"/>
          <w:szCs w:val="22"/>
        </w:rPr>
        <w:t>c</w:t>
      </w:r>
      <w:r w:rsidR="00000ACA" w:rsidRPr="00684646">
        <w:rPr>
          <w:rFonts w:ascii="Times New Roman" w:eastAsia="Calibri" w:hAnsi="Times New Roman"/>
          <w:sz w:val="22"/>
          <w:szCs w:val="22"/>
        </w:rPr>
        <w:t>ontribuinte apresent</w:t>
      </w:r>
      <w:r w:rsidR="002970FC" w:rsidRPr="00684646">
        <w:rPr>
          <w:rFonts w:ascii="Times New Roman" w:eastAsia="Calibri" w:hAnsi="Times New Roman"/>
          <w:sz w:val="22"/>
          <w:szCs w:val="22"/>
        </w:rPr>
        <w:t xml:space="preserve">ou impugnação </w:t>
      </w:r>
      <w:r w:rsidR="005A4C74" w:rsidRPr="00684646">
        <w:rPr>
          <w:rFonts w:ascii="Times New Roman" w:eastAsia="Calibri" w:hAnsi="Times New Roman"/>
          <w:sz w:val="22"/>
          <w:szCs w:val="22"/>
        </w:rPr>
        <w:t xml:space="preserve">tempestiva </w:t>
      </w:r>
      <w:r w:rsidR="002970FC" w:rsidRPr="00684646">
        <w:rPr>
          <w:rFonts w:ascii="Times New Roman" w:eastAsia="Calibri" w:hAnsi="Times New Roman"/>
          <w:sz w:val="22"/>
          <w:szCs w:val="22"/>
        </w:rPr>
        <w:t xml:space="preserve">(fl. </w:t>
      </w:r>
      <w:r w:rsidR="00A371C2" w:rsidRPr="00684646">
        <w:rPr>
          <w:rFonts w:ascii="Times New Roman" w:eastAsia="Calibri" w:hAnsi="Times New Roman"/>
          <w:sz w:val="22"/>
          <w:szCs w:val="22"/>
        </w:rPr>
        <w:t>1</w:t>
      </w:r>
      <w:r w:rsidR="00BF1D76" w:rsidRPr="00684646">
        <w:rPr>
          <w:rFonts w:ascii="Times New Roman" w:eastAsia="Calibri" w:hAnsi="Times New Roman"/>
          <w:sz w:val="22"/>
          <w:szCs w:val="22"/>
        </w:rPr>
        <w:t>4</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 xml:space="preserve">juntou documentos </w:t>
      </w:r>
      <w:r w:rsidR="00BF1D76" w:rsidRPr="00684646">
        <w:rPr>
          <w:rFonts w:ascii="Times New Roman" w:eastAsia="Calibri" w:hAnsi="Times New Roman"/>
          <w:sz w:val="22"/>
          <w:szCs w:val="22"/>
        </w:rPr>
        <w:t>(fls. 15</w:t>
      </w:r>
      <w:r w:rsidR="004319B2" w:rsidRPr="00684646">
        <w:rPr>
          <w:rFonts w:ascii="Times New Roman" w:eastAsia="Calibri" w:hAnsi="Times New Roman"/>
          <w:sz w:val="22"/>
          <w:szCs w:val="22"/>
        </w:rPr>
        <w:t>-</w:t>
      </w:r>
      <w:r w:rsidR="00BC4F70" w:rsidRPr="00684646">
        <w:rPr>
          <w:rFonts w:ascii="Times New Roman" w:eastAsia="Calibri" w:hAnsi="Times New Roman"/>
          <w:sz w:val="22"/>
          <w:szCs w:val="22"/>
        </w:rPr>
        <w:t>18</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w:t>
      </w:r>
      <w:r w:rsidR="005872F2" w:rsidRPr="00684646">
        <w:rPr>
          <w:rFonts w:ascii="Times New Roman" w:eastAsia="Calibri" w:hAnsi="Times New Roman"/>
          <w:sz w:val="22"/>
          <w:szCs w:val="22"/>
        </w:rPr>
        <w:t xml:space="preserve">não reconhecer o débito das anuidades, uma vez </w:t>
      </w:r>
      <w:r w:rsidR="00BC4F70" w:rsidRPr="00684646">
        <w:rPr>
          <w:rFonts w:ascii="Times New Roman" w:eastAsia="Calibri" w:hAnsi="Times New Roman"/>
          <w:sz w:val="22"/>
          <w:szCs w:val="22"/>
        </w:rPr>
        <w:t>que foi servidora pública com dedicação exclusiva no cargo de docente na Universidade Federal do Rio Grande do Sul</w:t>
      </w:r>
      <w:r w:rsidR="00827C76" w:rsidRPr="00684646">
        <w:rPr>
          <w:rFonts w:ascii="Times New Roman" w:eastAsia="Calibri" w:hAnsi="Times New Roman"/>
          <w:sz w:val="22"/>
          <w:szCs w:val="22"/>
        </w:rPr>
        <w:t>,</w:t>
      </w:r>
      <w:r w:rsidR="00BC4F70" w:rsidRPr="00684646">
        <w:rPr>
          <w:rFonts w:ascii="Times New Roman" w:eastAsia="Calibri" w:hAnsi="Times New Roman"/>
          <w:sz w:val="22"/>
          <w:szCs w:val="22"/>
        </w:rPr>
        <w:t xml:space="preserve"> de setembro de 1994 até a data de sua aposentadoria em junho de 2017,</w:t>
      </w:r>
      <w:r w:rsidR="00122FC3" w:rsidRPr="00684646">
        <w:rPr>
          <w:rFonts w:ascii="Times New Roman" w:eastAsia="Calibri" w:hAnsi="Times New Roman"/>
          <w:sz w:val="22"/>
          <w:szCs w:val="22"/>
        </w:rPr>
        <w:t xml:space="preserve"> bem como exerceu o cargo administrativo de Diretora da Faculdade de Arquitetura</w:t>
      </w:r>
      <w:r w:rsidR="00827C76" w:rsidRPr="00684646">
        <w:rPr>
          <w:rFonts w:ascii="Times New Roman" w:eastAsia="Calibri" w:hAnsi="Times New Roman"/>
          <w:sz w:val="22"/>
          <w:szCs w:val="22"/>
        </w:rPr>
        <w:t>,</w:t>
      </w:r>
      <w:r w:rsidR="00122FC3" w:rsidRPr="00684646">
        <w:rPr>
          <w:rFonts w:ascii="Times New Roman" w:eastAsia="Calibri" w:hAnsi="Times New Roman"/>
          <w:sz w:val="22"/>
          <w:szCs w:val="22"/>
        </w:rPr>
        <w:t xml:space="preserve"> de dezembro de 2011 a dezembro de 2015</w:t>
      </w:r>
      <w:r w:rsidR="006D1B8E" w:rsidRPr="00684646">
        <w:rPr>
          <w:rFonts w:ascii="Times New Roman" w:eastAsia="Calibri" w:hAnsi="Times New Roman"/>
          <w:sz w:val="22"/>
          <w:szCs w:val="22"/>
        </w:rPr>
        <w:t>. Requer o cancelamento da cobrança e a suspensão do</w:t>
      </w:r>
      <w:r w:rsidR="00BA10E6" w:rsidRPr="00684646">
        <w:rPr>
          <w:rFonts w:ascii="Times New Roman" w:eastAsia="Calibri" w:hAnsi="Times New Roman"/>
          <w:sz w:val="22"/>
          <w:szCs w:val="22"/>
        </w:rPr>
        <w:t xml:space="preserve"> registro profissional de forma retroativa</w:t>
      </w:r>
      <w:r w:rsidR="00BC4F70" w:rsidRPr="00684646">
        <w:rPr>
          <w:rFonts w:ascii="Times New Roman" w:eastAsia="Calibri" w:hAnsi="Times New Roman"/>
          <w:sz w:val="22"/>
          <w:szCs w:val="22"/>
        </w:rPr>
        <w:t>.</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o CAU/BR e os CAUs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CAUs, conforme o disposto no art. 37,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w:t>
      </w:r>
      <w:r w:rsidRPr="00684646">
        <w:rPr>
          <w:rFonts w:ascii="Times New Roman" w:hAnsi="Times New Roman"/>
          <w:sz w:val="22"/>
          <w:szCs w:val="22"/>
        </w:rPr>
        <w:lastRenderedPageBreak/>
        <w:t>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zootecnista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Lazzari,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D053D2"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No caso em análise, </w:t>
      </w:r>
      <w:r w:rsidR="003F0BCE">
        <w:rPr>
          <w:rFonts w:ascii="Times New Roman" w:hAnsi="Times New Roman"/>
          <w:sz w:val="22"/>
          <w:szCs w:val="22"/>
        </w:rPr>
        <w:t>conforme cons</w:t>
      </w:r>
      <w:r w:rsidR="00671B54">
        <w:rPr>
          <w:rFonts w:ascii="Times New Roman" w:hAnsi="Times New Roman"/>
          <w:sz w:val="22"/>
          <w:szCs w:val="22"/>
        </w:rPr>
        <w:t>ulta realizada no sistema de informação e comunicação do CAU – SICCAU, a</w:t>
      </w:r>
      <w:r w:rsidRPr="00684646">
        <w:rPr>
          <w:rFonts w:ascii="Times New Roman" w:hAnsi="Times New Roman"/>
          <w:sz w:val="22"/>
          <w:szCs w:val="22"/>
        </w:rPr>
        <w:t xml:space="preserve"> impugnante </w:t>
      </w:r>
      <w:r w:rsidR="00413CC6">
        <w:rPr>
          <w:rFonts w:ascii="Times New Roman" w:hAnsi="Times New Roman"/>
          <w:sz w:val="22"/>
          <w:szCs w:val="22"/>
        </w:rPr>
        <w:t xml:space="preserve">realizou o seu registro no CAU em 27/11/2012, tendo </w:t>
      </w:r>
      <w:r w:rsidR="00E833FB">
        <w:rPr>
          <w:rFonts w:ascii="Times New Roman" w:hAnsi="Times New Roman"/>
          <w:sz w:val="22"/>
          <w:szCs w:val="22"/>
        </w:rPr>
        <w:t>efetuado</w:t>
      </w:r>
      <w:r w:rsidR="00413CC6">
        <w:rPr>
          <w:rFonts w:ascii="Times New Roman" w:hAnsi="Times New Roman"/>
          <w:sz w:val="22"/>
          <w:szCs w:val="22"/>
        </w:rPr>
        <w:t xml:space="preserve"> o pagamento da anuidade de 2012 no dia </w:t>
      </w:r>
      <w:r w:rsidR="00EB3845">
        <w:rPr>
          <w:rFonts w:ascii="Times New Roman" w:hAnsi="Times New Roman"/>
          <w:sz w:val="22"/>
          <w:szCs w:val="22"/>
        </w:rPr>
        <w:t xml:space="preserve">02/01/2013, no valor de R$ 184,70, </w:t>
      </w:r>
      <w:r w:rsidR="00D72CEE">
        <w:rPr>
          <w:rFonts w:ascii="Times New Roman" w:hAnsi="Times New Roman"/>
          <w:sz w:val="22"/>
          <w:szCs w:val="22"/>
        </w:rPr>
        <w:t>havendo</w:t>
      </w:r>
      <w:r w:rsidR="00EF3444">
        <w:rPr>
          <w:rFonts w:ascii="Times New Roman" w:hAnsi="Times New Roman"/>
          <w:sz w:val="22"/>
          <w:szCs w:val="22"/>
        </w:rPr>
        <w:t xml:space="preserve"> inclusive </w:t>
      </w:r>
      <w:r w:rsidR="00D72CEE">
        <w:rPr>
          <w:rFonts w:ascii="Times New Roman" w:hAnsi="Times New Roman"/>
          <w:sz w:val="22"/>
          <w:szCs w:val="22"/>
        </w:rPr>
        <w:t xml:space="preserve">o </w:t>
      </w:r>
      <w:r w:rsidR="00EF3444">
        <w:rPr>
          <w:rFonts w:ascii="Times New Roman" w:hAnsi="Times New Roman"/>
          <w:sz w:val="22"/>
          <w:szCs w:val="22"/>
        </w:rPr>
        <w:t>registro de</w:t>
      </w:r>
      <w:r w:rsidR="00D72CEE">
        <w:rPr>
          <w:rFonts w:ascii="Times New Roman" w:hAnsi="Times New Roman"/>
          <w:sz w:val="22"/>
          <w:szCs w:val="22"/>
        </w:rPr>
        <w:t xml:space="preserve"> sua </w:t>
      </w:r>
      <w:r w:rsidR="00153789">
        <w:rPr>
          <w:rFonts w:ascii="Times New Roman" w:hAnsi="Times New Roman"/>
          <w:sz w:val="22"/>
          <w:szCs w:val="22"/>
        </w:rPr>
        <w:t>votação, em 05/11/2014, n</w:t>
      </w:r>
      <w:r w:rsidR="004C1F38">
        <w:rPr>
          <w:rFonts w:ascii="Times New Roman" w:hAnsi="Times New Roman"/>
          <w:sz w:val="22"/>
          <w:szCs w:val="22"/>
        </w:rPr>
        <w:t xml:space="preserve">as eleições do </w:t>
      </w:r>
      <w:r w:rsidR="00153789">
        <w:rPr>
          <w:rFonts w:ascii="Times New Roman" w:hAnsi="Times New Roman"/>
          <w:sz w:val="22"/>
          <w:szCs w:val="22"/>
        </w:rPr>
        <w:t>Conselho ocorrid</w:t>
      </w:r>
      <w:r w:rsidR="004C1F38">
        <w:rPr>
          <w:rFonts w:ascii="Times New Roman" w:hAnsi="Times New Roman"/>
          <w:sz w:val="22"/>
          <w:szCs w:val="22"/>
        </w:rPr>
        <w:t>a</w:t>
      </w:r>
      <w:r w:rsidR="00153789">
        <w:rPr>
          <w:rFonts w:ascii="Times New Roman" w:hAnsi="Times New Roman"/>
          <w:sz w:val="22"/>
          <w:szCs w:val="22"/>
        </w:rPr>
        <w:t xml:space="preserve"> no ano de 2014,</w:t>
      </w:r>
      <w:r w:rsidR="00197A85">
        <w:rPr>
          <w:rFonts w:ascii="Times New Roman" w:hAnsi="Times New Roman"/>
          <w:sz w:val="22"/>
          <w:szCs w:val="22"/>
        </w:rPr>
        <w:t xml:space="preserve"> </w:t>
      </w:r>
      <w:r w:rsidR="00EF6519">
        <w:rPr>
          <w:rFonts w:ascii="Times New Roman" w:hAnsi="Times New Roman"/>
          <w:sz w:val="22"/>
          <w:szCs w:val="22"/>
        </w:rPr>
        <w:t>r</w:t>
      </w:r>
      <w:r w:rsidR="00197A85">
        <w:rPr>
          <w:rFonts w:ascii="Times New Roman" w:hAnsi="Times New Roman"/>
          <w:sz w:val="22"/>
          <w:szCs w:val="22"/>
        </w:rPr>
        <w:t>estando</w:t>
      </w:r>
      <w:r w:rsidR="00EF6519">
        <w:rPr>
          <w:rFonts w:ascii="Times New Roman" w:hAnsi="Times New Roman"/>
          <w:sz w:val="22"/>
          <w:szCs w:val="22"/>
        </w:rPr>
        <w:t xml:space="preserve"> assim </w:t>
      </w:r>
      <w:r w:rsidR="00197A85">
        <w:rPr>
          <w:rFonts w:ascii="Times New Roman" w:hAnsi="Times New Roman"/>
          <w:sz w:val="22"/>
          <w:szCs w:val="22"/>
        </w:rPr>
        <w:t xml:space="preserve">presente </w:t>
      </w:r>
      <w:r w:rsidR="004C1F38">
        <w:rPr>
          <w:rFonts w:ascii="Times New Roman" w:hAnsi="Times New Roman"/>
          <w:sz w:val="22"/>
          <w:szCs w:val="22"/>
        </w:rPr>
        <w:t xml:space="preserve">tanto </w:t>
      </w:r>
      <w:r w:rsidR="00197A85">
        <w:rPr>
          <w:rFonts w:ascii="Times New Roman" w:hAnsi="Times New Roman"/>
          <w:sz w:val="22"/>
          <w:szCs w:val="22"/>
        </w:rPr>
        <w:t xml:space="preserve">o caráter voluntário de sua inscrição, </w:t>
      </w:r>
      <w:r w:rsidR="00D053D2">
        <w:rPr>
          <w:rFonts w:ascii="Times New Roman" w:hAnsi="Times New Roman"/>
          <w:sz w:val="22"/>
          <w:szCs w:val="22"/>
        </w:rPr>
        <w:t>quanto</w:t>
      </w:r>
      <w:r w:rsidR="00EF6519">
        <w:rPr>
          <w:rFonts w:ascii="Times New Roman" w:hAnsi="Times New Roman"/>
          <w:sz w:val="22"/>
          <w:szCs w:val="22"/>
        </w:rPr>
        <w:t xml:space="preserve"> </w:t>
      </w:r>
      <w:r w:rsidR="00555AEB">
        <w:rPr>
          <w:rFonts w:ascii="Times New Roman" w:hAnsi="Times New Roman"/>
          <w:sz w:val="22"/>
          <w:szCs w:val="22"/>
        </w:rPr>
        <w:t>o gozo de suas prerrogativas</w:t>
      </w:r>
      <w:r w:rsidR="00EF6519">
        <w:rPr>
          <w:rFonts w:ascii="Times New Roman" w:hAnsi="Times New Roman"/>
          <w:sz w:val="22"/>
          <w:szCs w:val="22"/>
        </w:rPr>
        <w:t xml:space="preserve"> de profissional devidamente registrada neste Ente Fiscalizador</w:t>
      </w:r>
      <w:r w:rsidR="005340D4">
        <w:rPr>
          <w:rFonts w:ascii="Times New Roman" w:hAnsi="Times New Roman"/>
          <w:sz w:val="22"/>
          <w:szCs w:val="22"/>
        </w:rPr>
        <w:t xml:space="preserve"> (doc. em anexo)</w:t>
      </w:r>
      <w:r w:rsidR="00D14C41">
        <w:rPr>
          <w:rFonts w:ascii="Times New Roman" w:hAnsi="Times New Roman"/>
          <w:sz w:val="22"/>
          <w:szCs w:val="22"/>
        </w:rPr>
        <w:t xml:space="preserve">, sem </w:t>
      </w:r>
      <w:r w:rsidR="00893C2F">
        <w:rPr>
          <w:rFonts w:ascii="Times New Roman" w:hAnsi="Times New Roman"/>
          <w:sz w:val="22"/>
          <w:szCs w:val="22"/>
        </w:rPr>
        <w:t xml:space="preserve">haver qualquer </w:t>
      </w:r>
      <w:r w:rsidR="005C062C">
        <w:rPr>
          <w:rFonts w:ascii="Times New Roman" w:hAnsi="Times New Roman"/>
          <w:sz w:val="22"/>
          <w:szCs w:val="22"/>
        </w:rPr>
        <w:t xml:space="preserve">informação quanto à ocorrência de eventual </w:t>
      </w:r>
      <w:r w:rsidR="00D14C41">
        <w:rPr>
          <w:rFonts w:ascii="Times New Roman" w:hAnsi="Times New Roman"/>
          <w:sz w:val="22"/>
          <w:szCs w:val="22"/>
        </w:rPr>
        <w:t xml:space="preserve">pedido de interrupção de seu registro </w:t>
      </w:r>
      <w:r w:rsidR="00893C2F">
        <w:rPr>
          <w:rFonts w:ascii="Times New Roman" w:hAnsi="Times New Roman"/>
          <w:sz w:val="22"/>
          <w:szCs w:val="22"/>
        </w:rPr>
        <w:t>profissional neste Conselho.</w:t>
      </w:r>
    </w:p>
    <w:p w:rsidR="00531AF5" w:rsidRPr="00A34EC5" w:rsidRDefault="00D053D2" w:rsidP="00530C1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597FF7">
        <w:rPr>
          <w:rFonts w:ascii="Times New Roman" w:hAnsi="Times New Roman"/>
          <w:sz w:val="22"/>
          <w:szCs w:val="22"/>
        </w:rPr>
        <w:t>Nesse sentido, importa referir</w:t>
      </w:r>
      <w:r w:rsidR="00540186">
        <w:rPr>
          <w:rFonts w:ascii="Times New Roman" w:hAnsi="Times New Roman"/>
          <w:sz w:val="22"/>
          <w:szCs w:val="22"/>
        </w:rPr>
        <w:t>,</w:t>
      </w:r>
      <w:r w:rsidRPr="00597FF7">
        <w:rPr>
          <w:rFonts w:ascii="Times New Roman" w:hAnsi="Times New Roman"/>
          <w:sz w:val="22"/>
          <w:szCs w:val="22"/>
        </w:rPr>
        <w:t xml:space="preserve"> </w:t>
      </w:r>
      <w:r w:rsidR="00530C1E" w:rsidRPr="00597FF7">
        <w:rPr>
          <w:rFonts w:ascii="Times New Roman" w:hAnsi="Times New Roman"/>
          <w:sz w:val="22"/>
          <w:szCs w:val="22"/>
        </w:rPr>
        <w:t>o</w:t>
      </w:r>
      <w:r w:rsidR="00733B06" w:rsidRPr="00597FF7">
        <w:rPr>
          <w:rFonts w:ascii="Times New Roman" w:hAnsi="Times New Roman"/>
          <w:sz w:val="22"/>
          <w:szCs w:val="22"/>
        </w:rPr>
        <w:t xml:space="preserve"> Art. 93 do</w:t>
      </w:r>
      <w:r w:rsidR="00530C1E" w:rsidRPr="00597FF7">
        <w:rPr>
          <w:rFonts w:ascii="Times New Roman" w:hAnsi="Times New Roman"/>
          <w:sz w:val="22"/>
          <w:szCs w:val="22"/>
        </w:rPr>
        <w:t xml:space="preserve"> decreto citado pela impugnante, </w:t>
      </w:r>
      <w:r w:rsidR="009A076A" w:rsidRPr="00597FF7">
        <w:rPr>
          <w:rFonts w:ascii="Times New Roman" w:hAnsi="Times New Roman"/>
          <w:sz w:val="22"/>
          <w:szCs w:val="22"/>
        </w:rPr>
        <w:t>D</w:t>
      </w:r>
      <w:r w:rsidR="00A34EC5">
        <w:rPr>
          <w:rFonts w:ascii="Times New Roman" w:hAnsi="Times New Roman"/>
          <w:sz w:val="22"/>
          <w:szCs w:val="22"/>
        </w:rPr>
        <w:t>ecreto n</w:t>
      </w:r>
      <w:r w:rsidR="009A076A" w:rsidRPr="00597FF7">
        <w:rPr>
          <w:rFonts w:ascii="Times New Roman" w:hAnsi="Times New Roman"/>
          <w:sz w:val="22"/>
          <w:szCs w:val="22"/>
        </w:rPr>
        <w:t xml:space="preserve">º 9.235, </w:t>
      </w:r>
      <w:r w:rsidR="00A34EC5">
        <w:rPr>
          <w:rFonts w:ascii="Times New Roman" w:hAnsi="Times New Roman"/>
          <w:sz w:val="22"/>
          <w:szCs w:val="22"/>
        </w:rPr>
        <w:t>de</w:t>
      </w:r>
      <w:r w:rsidR="009A076A" w:rsidRPr="00597FF7">
        <w:rPr>
          <w:rFonts w:ascii="Times New Roman" w:hAnsi="Times New Roman"/>
          <w:sz w:val="22"/>
          <w:szCs w:val="22"/>
        </w:rPr>
        <w:t xml:space="preserve"> 15 </w:t>
      </w:r>
      <w:r w:rsidR="00A34EC5">
        <w:rPr>
          <w:rFonts w:ascii="Times New Roman" w:hAnsi="Times New Roman"/>
          <w:sz w:val="22"/>
          <w:szCs w:val="22"/>
        </w:rPr>
        <w:t>de</w:t>
      </w:r>
      <w:r w:rsidR="009A076A" w:rsidRPr="00597FF7">
        <w:rPr>
          <w:rFonts w:ascii="Times New Roman" w:hAnsi="Times New Roman"/>
          <w:sz w:val="22"/>
          <w:szCs w:val="22"/>
        </w:rPr>
        <w:t xml:space="preserve"> </w:t>
      </w:r>
      <w:r w:rsidR="00A34EC5" w:rsidRPr="00A34EC5">
        <w:rPr>
          <w:rFonts w:ascii="Times New Roman" w:hAnsi="Times New Roman"/>
          <w:sz w:val="22"/>
          <w:szCs w:val="22"/>
        </w:rPr>
        <w:t>dezembro de</w:t>
      </w:r>
      <w:r w:rsidR="009A076A" w:rsidRPr="00A34EC5">
        <w:rPr>
          <w:rFonts w:ascii="Times New Roman" w:hAnsi="Times New Roman"/>
          <w:sz w:val="22"/>
          <w:szCs w:val="22"/>
        </w:rPr>
        <w:t xml:space="preserve"> 2017, </w:t>
      </w:r>
      <w:r w:rsidR="00597FF7" w:rsidRPr="00A34EC5">
        <w:rPr>
          <w:rFonts w:ascii="Times New Roman" w:hAnsi="Times New Roman"/>
          <w:sz w:val="22"/>
          <w:szCs w:val="22"/>
        </w:rPr>
        <w:t>da s</w:t>
      </w:r>
      <w:r w:rsidR="00597FF7" w:rsidRPr="00A34EC5">
        <w:rPr>
          <w:sz w:val="22"/>
          <w:szCs w:val="22"/>
        </w:rPr>
        <w:t xml:space="preserve">ubchefia para assuntos jurídicos da Casa Civil da Presidência da República, </w:t>
      </w:r>
      <w:r w:rsidR="009A076A" w:rsidRPr="00A34EC5">
        <w:rPr>
          <w:rFonts w:ascii="Times New Roman" w:hAnsi="Times New Roman"/>
          <w:sz w:val="22"/>
          <w:szCs w:val="22"/>
        </w:rPr>
        <w:t>o qual d</w:t>
      </w:r>
      <w:r w:rsidR="009A076A" w:rsidRPr="00A34EC5">
        <w:rPr>
          <w:sz w:val="22"/>
          <w:szCs w:val="22"/>
        </w:rPr>
        <w:t xml:space="preserve">ispõe sobre o exercício das funções de regulação, </w:t>
      </w:r>
      <w:r w:rsidR="009A076A" w:rsidRPr="00A34EC5">
        <w:rPr>
          <w:sz w:val="22"/>
          <w:szCs w:val="22"/>
        </w:rPr>
        <w:lastRenderedPageBreak/>
        <w:t>supervisão e avaliação das instituições de educação superior e dos cursos superiores de graduação e de pós-graduação no sistema federal de ensino,</w:t>
      </w:r>
      <w:r w:rsidR="00597FF7" w:rsidRPr="00A34EC5">
        <w:rPr>
          <w:sz w:val="22"/>
          <w:szCs w:val="22"/>
        </w:rPr>
        <w:t xml:space="preserve"> estabelece que </w:t>
      </w:r>
      <w:r w:rsidR="00597FF7" w:rsidRPr="00A34EC5">
        <w:rPr>
          <w:i/>
          <w:sz w:val="22"/>
          <w:szCs w:val="22"/>
        </w:rPr>
        <w:t>“</w:t>
      </w:r>
      <w:r w:rsidR="00530C1E" w:rsidRPr="00A34EC5">
        <w:rPr>
          <w:i/>
          <w:sz w:val="22"/>
          <w:szCs w:val="22"/>
        </w:rPr>
        <w:t>O exercício de atividade docente na educação superior não se sujeita à inscrição do professor em órgão de regulamentação profissional.</w:t>
      </w:r>
      <w:r w:rsidR="00531AF5" w:rsidRPr="00A34EC5">
        <w:rPr>
          <w:i/>
          <w:sz w:val="22"/>
          <w:szCs w:val="22"/>
        </w:rPr>
        <w:t>”</w:t>
      </w:r>
      <w:r w:rsidR="00531AF5" w:rsidRPr="00A34EC5">
        <w:rPr>
          <w:sz w:val="22"/>
          <w:szCs w:val="22"/>
        </w:rPr>
        <w:t>, o que não se confunde com a situação ora em análise na qual a impugnante realizou seu registro neste Conselho de Fiscalização Profissional por ato voluntário</w:t>
      </w:r>
      <w:r w:rsidR="00FD09B5" w:rsidRPr="00A34EC5">
        <w:rPr>
          <w:sz w:val="22"/>
          <w:szCs w:val="22"/>
        </w:rPr>
        <w:t xml:space="preserve">, sendo nesse sentido responsável pelo adimplemento de todos os </w:t>
      </w:r>
      <w:r w:rsidR="006A2024">
        <w:rPr>
          <w:sz w:val="22"/>
          <w:szCs w:val="22"/>
        </w:rPr>
        <w:t>consectários legais daí advindos</w:t>
      </w:r>
      <w:r w:rsidR="00531AF5" w:rsidRPr="00A34EC5">
        <w:rPr>
          <w:sz w:val="22"/>
          <w:szCs w:val="22"/>
        </w:rPr>
        <w:t>.</w:t>
      </w:r>
    </w:p>
    <w:p w:rsidR="00684646" w:rsidRPr="00684646" w:rsidRDefault="00F76C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Destarte</w:t>
      </w:r>
      <w:r w:rsidR="00684646" w:rsidRPr="00684646">
        <w:rPr>
          <w:rFonts w:ascii="Times New Roman" w:hAnsi="Times New Roman"/>
          <w:sz w:val="22"/>
          <w:szCs w:val="22"/>
        </w:rPr>
        <w:t>, com a vigência da Lei nº 12.514/2011</w:t>
      </w:r>
      <w:r w:rsidR="00F336C7">
        <w:rPr>
          <w:rFonts w:ascii="Times New Roman" w:hAnsi="Times New Roman"/>
          <w:sz w:val="22"/>
          <w:szCs w:val="22"/>
        </w:rPr>
        <w:t>,</w:t>
      </w:r>
      <w:r w:rsidR="00684646" w:rsidRPr="00684646">
        <w:rPr>
          <w:rFonts w:ascii="Times New Roman" w:hAnsi="Times New Roman"/>
          <w:sz w:val="22"/>
          <w:szCs w:val="22"/>
        </w:rPr>
        <w:t xml:space="preserve"> tratando-se de pessoa física, </w:t>
      </w:r>
      <w:r w:rsidR="00A40328">
        <w:rPr>
          <w:rFonts w:ascii="Times New Roman" w:hAnsi="Times New Roman"/>
          <w:sz w:val="22"/>
          <w:szCs w:val="22"/>
        </w:rPr>
        <w:t xml:space="preserve">o fato gerador das anuidades </w:t>
      </w:r>
      <w:r w:rsidR="00684646" w:rsidRPr="00684646">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 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multa eleitoral. inexigibilidade.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684646" w:rsidRPr="00684646" w:rsidRDefault="00B7657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Quanto ao período posterior à concessão de aposentadoria por tempo de serviço ocorrida em 23/06/2017</w:t>
      </w:r>
      <w:r w:rsidR="00962C48">
        <w:rPr>
          <w:rFonts w:ascii="Times New Roman" w:hAnsi="Times New Roman"/>
          <w:sz w:val="22"/>
          <w:szCs w:val="22"/>
        </w:rPr>
        <w:t xml:space="preserve"> (fl. 16)</w:t>
      </w:r>
      <w:r>
        <w:rPr>
          <w:rFonts w:ascii="Times New Roman" w:hAnsi="Times New Roman"/>
          <w:sz w:val="22"/>
          <w:szCs w:val="22"/>
        </w:rPr>
        <w:t xml:space="preserve">, melhor sorte não assiste à impugnante. </w:t>
      </w:r>
      <w:r w:rsidR="00A70C40">
        <w:rPr>
          <w:rFonts w:ascii="Times New Roman" w:hAnsi="Times New Roman"/>
          <w:sz w:val="22"/>
          <w:szCs w:val="22"/>
        </w:rPr>
        <w:t>Isso porque</w:t>
      </w:r>
      <w:r w:rsidR="00684646" w:rsidRPr="00684646">
        <w:rPr>
          <w:rFonts w:ascii="Times New Roman" w:hAnsi="Times New Roman"/>
          <w:sz w:val="22"/>
          <w:szCs w:val="22"/>
        </w:rPr>
        <w:t xml:space="preserve">, conforme jurisprudência consolidada, não há falar em imediata baixa do registro do profissional com o advento de sua aposentadoria por tempo de contribuição, sendo necessária a realização voluntária do pedido de baixa junto ao Conselho, sendo, dessa forma, exigíveis as anuidades </w:t>
      </w:r>
      <w:r w:rsidR="00271AFB">
        <w:rPr>
          <w:rFonts w:ascii="Times New Roman" w:hAnsi="Times New Roman"/>
          <w:sz w:val="22"/>
          <w:szCs w:val="22"/>
        </w:rPr>
        <w:t xml:space="preserve">constantes na Notificação Administrativa e até o momento </w:t>
      </w:r>
      <w:r w:rsidR="007C1F92">
        <w:rPr>
          <w:rFonts w:ascii="Times New Roman" w:hAnsi="Times New Roman"/>
          <w:sz w:val="22"/>
          <w:szCs w:val="22"/>
        </w:rPr>
        <w:t xml:space="preserve">em que ocorrer </w:t>
      </w:r>
      <w:r w:rsidR="00684646" w:rsidRPr="00684646">
        <w:rPr>
          <w:rFonts w:ascii="Times New Roman" w:hAnsi="Times New Roman"/>
          <w:sz w:val="22"/>
          <w:szCs w:val="22"/>
        </w:rPr>
        <w:t>o pedido de baixa do registro, conforme é possível verificar nos seguintes julgados.</w:t>
      </w:r>
    </w:p>
    <w:p w:rsidR="00684646" w:rsidRPr="00684646" w:rsidRDefault="00684646" w:rsidP="00684646">
      <w:pPr>
        <w:tabs>
          <w:tab w:val="left" w:pos="1418"/>
        </w:tabs>
        <w:spacing w:before="120" w:after="1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ADMINISTRATIVO. CONSELHO REGIONAL DE ADMINISTRAÇÃO. ANUIDADES. COBRANÇA. LEGITIMIDADE. APOSENTADORIA. PEDIDO DE BAIXA DO REGISTRO PROFISSIONAL. NÃO COMPROVAÇÃO. 1. Não há imediata baixa no registro do profissional com a sua simples aposentadoria, sendo necessário que se formule pedido junto ao Conselho, declarando a não persistência do exercício da profissão regulamentada.</w:t>
      </w:r>
      <w:r w:rsidRPr="00684646">
        <w:rPr>
          <w:rFonts w:ascii="Times New Roman" w:hAnsi="Times New Roman"/>
          <w:i/>
          <w:sz w:val="22"/>
          <w:szCs w:val="22"/>
        </w:rPr>
        <w:t xml:space="preserve"> 2. Verificada na espécie a evidente ausência do direito de agir, e, por conseqüência, falta de condição da ação, pois a falta do pedido administrativo de cancelamento, cuja prova cabia à autora, inviabilizou a ciência pelo réu sobre a pretensão e a sua apreciação para justificar o deferimento ou o indeferimento. 3. Mantida a sentença que extinguiu o processo ao reconhecer a carência de ação.</w:t>
      </w:r>
    </w:p>
    <w:p w:rsidR="00684646" w:rsidRPr="00684646" w:rsidRDefault="00684646" w:rsidP="00684646">
      <w:pPr>
        <w:pStyle w:val="PargrafodaLista"/>
        <w:ind w:left="720"/>
        <w:jc w:val="both"/>
        <w:rPr>
          <w:rFonts w:ascii="Times New Roman" w:hAnsi="Times New Roman"/>
          <w:b/>
          <w:i/>
          <w:sz w:val="22"/>
          <w:szCs w:val="22"/>
        </w:rPr>
      </w:pPr>
      <w:r w:rsidRPr="00684646">
        <w:rPr>
          <w:rFonts w:ascii="Times New Roman" w:hAnsi="Times New Roman"/>
          <w:b/>
          <w:i/>
          <w:sz w:val="22"/>
          <w:szCs w:val="22"/>
        </w:rPr>
        <w:t xml:space="preserve">(TRF-4 - AC: 50106088120144047000 PR 5010608-81.2014.404.7000, Relator: FERNANDO QUADROS DA SILVA, Data de Julgamento: 10/06/2015, TERCEIRA TURMA) </w:t>
      </w:r>
      <w:r w:rsidRPr="00684646">
        <w:rPr>
          <w:rFonts w:ascii="Times New Roman" w:hAnsi="Times New Roman"/>
          <w:sz w:val="22"/>
          <w:szCs w:val="22"/>
        </w:rPr>
        <w:t>(grifou-se)</w:t>
      </w:r>
      <w:r w:rsidR="001F6102">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b/>
          <w:i/>
          <w:sz w:val="22"/>
          <w:szCs w:val="22"/>
        </w:rPr>
      </w:pP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TRIBUTÁRIO. EMBARGOS À EXECUÇÃO. CONSELHO REGIONAL DE ENFERMAGEM. ANUIDADES. PRESCRIÇÃO. ART. 174 CTN. DECRETAÇÃO DE OFÍCIO. NATUREZA TRIBUTÁRIA. LEI Nº 6.994/82. LIMITE. LEI 12.514/2011. EXISTÊNCIA DO FATO GERADOR. EXIGIBILIDADE DE ANUIDADES. MUDANÇA DE PARADIGMA. APOSENTADORIA VOLUNTÁRIA. INVERSÃO DOS ÔNUS SUCUMBENCIAIS. SENTENÇA REFORMADA.</w:t>
      </w:r>
      <w:r w:rsidRPr="00684646">
        <w:rPr>
          <w:rFonts w:ascii="Times New Roman" w:hAnsi="Times New Roman"/>
          <w:i/>
          <w:sz w:val="22"/>
          <w:szCs w:val="22"/>
        </w:rPr>
        <w:t xml:space="preserve"> 1. O fato gerador da contribuição tributária em face do Conselho de fiscalização é o registro do profissional nos quadros do Conselho. 2. A prescrição, por ser matéria de ordem pública, pode ser conhecida de ofício em qualquer grau de jurisdição, independentemente de provocação das partes. Questão, aliás, já superada com o advento da Lei nº 11.280/06 - com aplicabilidade inclusive nos processos ajuizados antes de sua entrada em vigor. 3. As anuidades dos Conselhos Profissionais constituem tributos, sendo, pois, reguladas pelas disposições do Código Tributário Nacional referentes à decadência e prescrição (arts. 173 e 174). 4. Constituído o crédito tributário em caráter definitivo, começa a fluir o prazo (prescricional) para o credor promover a execução fiscal, nos termos do art. 174, do Código Tributário Nacional, no caso dos autos, com as alterações promovidas pela LC 118/05. 5. Tendo decorrido mais de cinco anos entre essa data e o despacho que deferir a inicial e a citação do devedor deve ser acolhida a prescrição do crédito apontado. </w:t>
      </w:r>
      <w:r w:rsidRPr="00684646">
        <w:rPr>
          <w:rFonts w:ascii="Times New Roman" w:hAnsi="Times New Roman"/>
          <w:b/>
          <w:i/>
          <w:sz w:val="22"/>
          <w:szCs w:val="22"/>
        </w:rPr>
        <w:t xml:space="preserve">6. Hipótese em que o executado comprovou a sua aposentadoria voluntária desde o ano de 1997, o que não afasta a possibilidade da pessoa que recebe este benefício continuar desempenhando a atividade fiscalizada pelo Conselho afim, assim impõe-se o reconhecimento da exigibilidade dos créditos remanecentes cobrados neste feito. </w:t>
      </w:r>
      <w:r w:rsidRPr="00684646">
        <w:rPr>
          <w:rFonts w:ascii="Times New Roman" w:hAnsi="Times New Roman"/>
          <w:i/>
          <w:sz w:val="22"/>
          <w:szCs w:val="22"/>
        </w:rPr>
        <w:t>7. Diante da reforma da sentença houve a inversão dos ônus sucumbenciais ficando a embargante condenada ao pagamento das verbas de sucumbência. Restando suspensa a exigibilidade, em face do benefício da Assistência Judiciária Gratuita.</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i/>
          <w:sz w:val="22"/>
          <w:szCs w:val="22"/>
        </w:rPr>
        <w:t xml:space="preserve">(TRF-4 - AC: 21987520164049999 RS 0002198-75.2016.404.9999, Relator: CLÁUDIA MARIA DADICO, Data de Julgamento: 26/04/2016, SEGUNDA TURMA) </w:t>
      </w:r>
      <w:r w:rsidRPr="00684646">
        <w:rPr>
          <w:rFonts w:ascii="Times New Roman" w:hAnsi="Times New Roman"/>
          <w:sz w:val="22"/>
          <w:szCs w:val="22"/>
        </w:rPr>
        <w:t>(grifou-se)</w:t>
      </w:r>
      <w:r w:rsidR="001F6102">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b/>
          <w:i/>
          <w:sz w:val="22"/>
          <w:szCs w:val="22"/>
        </w:rPr>
      </w:pP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Diferente seria caso o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caso fosse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 xml:space="preserve">seu registro ativo ainda que justificado pela </w:t>
      </w:r>
      <w:r w:rsidR="007C1F92">
        <w:rPr>
          <w:rFonts w:ascii="Times New Roman" w:hAnsi="Times New Roman"/>
          <w:sz w:val="22"/>
          <w:szCs w:val="22"/>
        </w:rPr>
        <w:t xml:space="preserve">docência </w:t>
      </w:r>
      <w:r w:rsidR="00866B60">
        <w:rPr>
          <w:rFonts w:ascii="Times New Roman" w:hAnsi="Times New Roman"/>
          <w:sz w:val="22"/>
          <w:szCs w:val="22"/>
        </w:rPr>
        <w:t>exercida, ou em razão de sua aposentadoria por tempo de contribuição</w:t>
      </w:r>
      <w:r w:rsidRPr="00684646">
        <w:rPr>
          <w:rFonts w:ascii="Times New Roman" w:hAnsi="Times New Roman"/>
          <w:sz w:val="22"/>
          <w:szCs w:val="22"/>
        </w:rPr>
        <w:t>. Nesse sentido, inclusive, não há como o Conselho ter conhecimento tanto da aposentadoria por tempo de contribuição, quanto do desejo d</w:t>
      </w:r>
      <w:r w:rsidR="001E1B9B">
        <w:rPr>
          <w:rFonts w:ascii="Times New Roman" w:hAnsi="Times New Roman"/>
          <w:sz w:val="22"/>
          <w:szCs w:val="22"/>
        </w:rPr>
        <w:t>a</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 não se desincumbindo, portanto, do ônus que lhe cabia.</w:t>
      </w:r>
    </w:p>
    <w:p w:rsidR="00DA15EB" w:rsidRPr="00684646"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deve adotar procedimentos administrativos visando ao seu desligamento dos quadros do órgão de classe, para que se desobrigue do pagamento da anuidade. Constitui direito do profissional não permanecer vinculado ao órgão, seja porque não pretende mais desempenhar a atividade, seja porque o cargo ou a função, re</w:t>
      </w:r>
      <w:r w:rsidR="00181A85">
        <w:rPr>
          <w:rFonts w:ascii="Times New Roman" w:hAnsi="Times New Roman"/>
          <w:sz w:val="22"/>
          <w:szCs w:val="22"/>
        </w:rPr>
        <w:t>g</w:t>
      </w:r>
      <w:r w:rsidRPr="00181A85">
        <w:rPr>
          <w:rFonts w:ascii="Times New Roman" w:hAnsi="Times New Roman"/>
          <w:sz w:val="22"/>
          <w:szCs w:val="22"/>
        </w:rPr>
        <w:t>idos por legislação específica, não exigem a inscrição.</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Frisa-se, assim, que caso seja interesse d</w:t>
      </w:r>
      <w:r w:rsidR="00FC6924">
        <w:rPr>
          <w:rFonts w:ascii="Times New Roman" w:hAnsi="Times New Roman"/>
          <w:sz w:val="22"/>
          <w:szCs w:val="22"/>
        </w:rPr>
        <w:t>a</w:t>
      </w:r>
      <w:r w:rsidRPr="00684646">
        <w:rPr>
          <w:rFonts w:ascii="Times New Roman" w:hAnsi="Times New Roman"/>
          <w:sz w:val="22"/>
          <w:szCs w:val="22"/>
        </w:rPr>
        <w:t xml:space="preserve"> profissional interromper/baixar seu registro perante o CAU/RS, deverá entrar em contato com o setor de atendimento da Autarquia para solicitar a modificação de seu registro e, assim, evitar a geração de cobranças de anuidades a partir do deferimento da interrupção/baixa.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Por oportuno, é de se destacar que o novo Refis foi aprovado pelo CAU/BR, alterando a Resolução CAU/BR nº 121, a qual passa a permitir, nos termos da resolução, o pagamento do valor devido com a isenção de multa e em até 25 meses.</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Pr="00684646">
        <w:rPr>
          <w:rFonts w:ascii="Times New Roman" w:hAnsi="Times New Roman"/>
          <w:b/>
          <w:sz w:val="22"/>
          <w:szCs w:val="22"/>
        </w:rPr>
        <w:t>improcedência</w:t>
      </w:r>
      <w:r w:rsidRPr="00684646">
        <w:rPr>
          <w:rFonts w:ascii="Times New Roman" w:hAnsi="Times New Roman"/>
          <w:sz w:val="22"/>
          <w:szCs w:val="22"/>
        </w:rPr>
        <w:t xml:space="preserve"> da impugnação oferecida pel</w:t>
      </w:r>
      <w:r w:rsidR="00FC6924">
        <w:rPr>
          <w:rFonts w:ascii="Times New Roman" w:hAnsi="Times New Roman"/>
          <w:sz w:val="22"/>
          <w:szCs w:val="22"/>
        </w:rPr>
        <w:t>a</w:t>
      </w:r>
      <w:r w:rsidRPr="00684646">
        <w:rPr>
          <w:rFonts w:ascii="Times New Roman" w:hAnsi="Times New Roman"/>
          <w:sz w:val="22"/>
          <w:szCs w:val="22"/>
        </w:rPr>
        <w:t xml:space="preserve"> Arquitet</w:t>
      </w:r>
      <w:r w:rsidR="005D32E5">
        <w:rPr>
          <w:rFonts w:ascii="Times New Roman" w:hAnsi="Times New Roman"/>
          <w:sz w:val="22"/>
          <w:szCs w:val="22"/>
        </w:rPr>
        <w:t>a</w:t>
      </w:r>
      <w:r w:rsidRPr="00684646">
        <w:rPr>
          <w:rFonts w:ascii="Times New Roman" w:hAnsi="Times New Roman"/>
          <w:sz w:val="22"/>
          <w:szCs w:val="22"/>
        </w:rPr>
        <w:t xml:space="preserve"> e Urbanista </w:t>
      </w:r>
      <w:r w:rsidR="00FC6924" w:rsidRPr="00684646">
        <w:rPr>
          <w:rFonts w:ascii="Times New Roman" w:eastAsia="Calibri" w:hAnsi="Times New Roman"/>
          <w:sz w:val="22"/>
          <w:szCs w:val="22"/>
        </w:rPr>
        <w:t>MARIA CRISTINA DIAS LAY</w:t>
      </w:r>
      <w:r w:rsidR="00FC6924" w:rsidRPr="00684646">
        <w:rPr>
          <w:rFonts w:ascii="Times New Roman" w:hAnsi="Times New Roman"/>
          <w:sz w:val="22"/>
          <w:szCs w:val="22"/>
        </w:rPr>
        <w:t>.</w:t>
      </w:r>
      <w:r w:rsidR="00FC6924" w:rsidRPr="00684646">
        <w:rPr>
          <w:rFonts w:ascii="Times New Roman" w:eastAsia="Calibri" w:hAnsi="Times New Roman"/>
          <w:sz w:val="22"/>
          <w:szCs w:val="22"/>
        </w:rPr>
        <w:t xml:space="preserve"> – CPF 292.353.830-72</w:t>
      </w:r>
      <w:r w:rsidRPr="00684646">
        <w:rPr>
          <w:rFonts w:ascii="Times New Roman" w:hAnsi="Times New Roman"/>
          <w:sz w:val="22"/>
          <w:szCs w:val="22"/>
        </w:rPr>
        <w:t>, com o fim de, com base nos elementos probatórios existentes nos autos, manter o débito relativo às anuidades de 2013, 2014, 2015, 2016 e 2017, visto que ausente solicitação de baixa de registro, a qual constitui ato voluntário do profissional e que, nos termos do Art. 5º da Lei nº 12.514/2011, o fato gerador das anuidades é a existência de inscrição no Conselho, bem como pelo fato de que a alegada</w:t>
      </w:r>
      <w:r w:rsidR="00C70FBB">
        <w:rPr>
          <w:rFonts w:ascii="Times New Roman" w:hAnsi="Times New Roman"/>
          <w:sz w:val="22"/>
          <w:szCs w:val="22"/>
        </w:rPr>
        <w:t xml:space="preserve"> docência e a</w:t>
      </w:r>
      <w:r w:rsidRPr="00684646">
        <w:rPr>
          <w:rFonts w:ascii="Times New Roman" w:hAnsi="Times New Roman"/>
          <w:sz w:val="22"/>
          <w:szCs w:val="22"/>
        </w:rPr>
        <w:t xml:space="preserve"> aposentadoria por tempo de contribuição, por si só, não cessa o fato gerador das anuidades.</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E92E91">
        <w:rPr>
          <w:rFonts w:ascii="Times New Roman" w:eastAsia="Calibri" w:hAnsi="Times New Roman"/>
          <w:sz w:val="22"/>
          <w:szCs w:val="22"/>
        </w:rPr>
        <w:t>25 de setembro</w:t>
      </w:r>
      <w:r w:rsidRPr="00684646">
        <w:rPr>
          <w:rFonts w:ascii="Times New Roman" w:eastAsia="Calibri" w:hAnsi="Times New Roman"/>
          <w:sz w:val="22"/>
          <w:szCs w:val="22"/>
        </w:rPr>
        <w:t xml:space="preserve"> de 2018.</w:t>
      </w:r>
    </w:p>
    <w:p w:rsidR="00684646" w:rsidRPr="00684646" w:rsidRDefault="00684646" w:rsidP="00684646">
      <w:pPr>
        <w:spacing w:before="120" w:after="120"/>
        <w:jc w:val="center"/>
        <w:rPr>
          <w:rFonts w:ascii="Times New Roman" w:eastAsia="Calibri" w:hAnsi="Times New Roman"/>
          <w:sz w:val="22"/>
          <w:szCs w:val="22"/>
        </w:rPr>
      </w:pPr>
    </w:p>
    <w:p w:rsidR="00684646" w:rsidRPr="00684646" w:rsidRDefault="004F2016" w:rsidP="00684646">
      <w:pPr>
        <w:tabs>
          <w:tab w:val="left" w:pos="1418"/>
        </w:tabs>
        <w:spacing w:line="276" w:lineRule="auto"/>
        <w:jc w:val="center"/>
        <w:rPr>
          <w:rFonts w:ascii="Times New Roman" w:hAnsi="Times New Roman"/>
          <w:sz w:val="22"/>
          <w:szCs w:val="22"/>
        </w:rPr>
      </w:pPr>
      <w:r>
        <w:rPr>
          <w:rFonts w:ascii="Times New Roman" w:hAnsi="Times New Roman"/>
          <w:b/>
          <w:sz w:val="22"/>
          <w:szCs w:val="22"/>
        </w:rPr>
        <w:t>ALVINO JARA</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Pr="00684646" w:rsidRDefault="003F12A5"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7013"/>
      </w:tblGrid>
      <w:tr w:rsidR="005C67A7" w:rsidRPr="00684646" w:rsidTr="00B65E6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PROCESSO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180/2018</w:t>
            </w:r>
          </w:p>
        </w:tc>
      </w:tr>
      <w:tr w:rsidR="005C67A7" w:rsidRPr="00684646" w:rsidTr="00B65E6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NOTIFICAÇÃO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997/2018</w:t>
            </w:r>
          </w:p>
        </w:tc>
      </w:tr>
      <w:tr w:rsidR="005C67A7" w:rsidRPr="00684646" w:rsidTr="00B65E6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INTERESSADO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5C67A7" w:rsidRPr="00684646" w:rsidRDefault="005C67A7" w:rsidP="00D720D2">
            <w:pPr>
              <w:tabs>
                <w:tab w:val="left" w:pos="1418"/>
              </w:tabs>
              <w:spacing w:line="360" w:lineRule="auto"/>
              <w:rPr>
                <w:rFonts w:ascii="Times New Roman" w:eastAsia="Calibri" w:hAnsi="Times New Roman"/>
                <w:sz w:val="22"/>
                <w:szCs w:val="22"/>
              </w:rPr>
            </w:pPr>
            <w:r w:rsidRPr="00684646">
              <w:rPr>
                <w:rFonts w:ascii="Times New Roman" w:eastAsia="Calibri" w:hAnsi="Times New Roman"/>
                <w:sz w:val="22"/>
                <w:szCs w:val="22"/>
              </w:rPr>
              <w:t>Arq. Urb. MARIA CRISTINA DIAS LAY</w:t>
            </w:r>
          </w:p>
          <w:p w:rsidR="005C67A7" w:rsidRPr="00684646" w:rsidRDefault="005C67A7" w:rsidP="00D720D2">
            <w:pPr>
              <w:tabs>
                <w:tab w:val="left" w:pos="1418"/>
              </w:tabs>
              <w:spacing w:line="360" w:lineRule="auto"/>
              <w:rPr>
                <w:rFonts w:ascii="Times New Roman" w:eastAsia="Calibri" w:hAnsi="Times New Roman"/>
                <w:sz w:val="22"/>
                <w:szCs w:val="22"/>
              </w:rPr>
            </w:pPr>
            <w:r w:rsidRPr="00684646">
              <w:rPr>
                <w:rFonts w:ascii="Times New Roman" w:eastAsia="Calibri" w:hAnsi="Times New Roman"/>
                <w:sz w:val="22"/>
                <w:szCs w:val="22"/>
              </w:rPr>
              <w:t>CPF 292.353.830-72</w:t>
            </w:r>
          </w:p>
        </w:tc>
      </w:tr>
      <w:tr w:rsidR="005C67A7" w:rsidRPr="00684646" w:rsidTr="00B65E6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OBJETO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COBRANÇA DE ANUIDADE</w:t>
            </w:r>
          </w:p>
        </w:tc>
      </w:tr>
      <w:tr w:rsidR="005C67A7" w:rsidRPr="00684646" w:rsidTr="00B65E6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RELATOR(A)</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5C67A7" w:rsidRPr="00684646" w:rsidRDefault="005C67A7"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 xml:space="preserve">CONSELHEIRO(A) </w:t>
            </w:r>
            <w:r w:rsidR="004F2016">
              <w:rPr>
                <w:rFonts w:ascii="Times New Roman" w:hAnsi="Times New Roman"/>
                <w:sz w:val="22"/>
                <w:szCs w:val="22"/>
              </w:rPr>
              <w:t>ALVINO JARA</w:t>
            </w:r>
          </w:p>
        </w:tc>
      </w:tr>
      <w:tr w:rsidR="00684646" w:rsidRPr="00684646" w:rsidTr="008342BE">
        <w:trPr>
          <w:trHeight w:val="312"/>
        </w:trPr>
        <w:tc>
          <w:tcPr>
            <w:tcW w:w="9003" w:type="dxa"/>
            <w:gridSpan w:val="2"/>
            <w:tcBorders>
              <w:top w:val="single" w:sz="12" w:space="0" w:color="808080"/>
              <w:left w:val="nil"/>
              <w:bottom w:val="single" w:sz="12" w:space="0" w:color="808080"/>
              <w:right w:val="nil"/>
            </w:tcBorders>
            <w:shd w:val="pct5" w:color="auto" w:fill="auto"/>
            <w:vAlign w:val="center"/>
          </w:tcPr>
          <w:p w:rsidR="00684646" w:rsidRPr="00684646" w:rsidRDefault="00684646" w:rsidP="00D720D2">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 xml:space="preserve">DELIBERAÇÃO Nº </w:t>
            </w:r>
            <w:r w:rsidR="008342F5">
              <w:rPr>
                <w:rFonts w:ascii="Times New Roman" w:hAnsi="Times New Roman"/>
                <w:b/>
                <w:sz w:val="22"/>
                <w:szCs w:val="22"/>
              </w:rPr>
              <w:t>141</w:t>
            </w:r>
            <w:r w:rsidRPr="00684646">
              <w:rPr>
                <w:rFonts w:ascii="Times New Roman" w:hAnsi="Times New Roman"/>
                <w:b/>
                <w:sz w:val="22"/>
                <w:szCs w:val="22"/>
              </w:rPr>
              <w:t>/2018 – CPF</w:t>
            </w:r>
            <w:r w:rsidR="008342F5">
              <w:rPr>
                <w:rFonts w:ascii="Times New Roman" w:hAnsi="Times New Roman"/>
                <w:b/>
                <w:sz w:val="22"/>
                <w:szCs w:val="22"/>
              </w:rPr>
              <w:t>I-</w:t>
            </w:r>
            <w:r w:rsidRPr="00684646">
              <w:rPr>
                <w:rFonts w:ascii="Times New Roman" w:hAnsi="Times New Roman"/>
                <w:b/>
                <w:sz w:val="22"/>
                <w:szCs w:val="22"/>
              </w:rPr>
              <w:t>CAU/RS</w:t>
            </w:r>
          </w:p>
        </w:tc>
      </w:tr>
    </w:tbl>
    <w:p w:rsidR="00684646" w:rsidRPr="00684646" w:rsidRDefault="00684646" w:rsidP="00D720D2">
      <w:pPr>
        <w:tabs>
          <w:tab w:val="left" w:pos="1418"/>
        </w:tabs>
        <w:spacing w:before="120" w:after="120" w:line="360" w:lineRule="auto"/>
        <w:jc w:val="both"/>
        <w:rPr>
          <w:rFonts w:ascii="Times New Roman" w:hAnsi="Times New Roman"/>
          <w:sz w:val="22"/>
          <w:szCs w:val="22"/>
        </w:rPr>
      </w:pPr>
      <w:r w:rsidRPr="00684646">
        <w:rPr>
          <w:rFonts w:ascii="Times New Roman" w:hAnsi="Times New Roman"/>
          <w:sz w:val="22"/>
          <w:szCs w:val="22"/>
        </w:rPr>
        <w:t>A COMISSÃO DE PLANEJAMENTO E FINANÇAS CPF</w:t>
      </w:r>
      <w:r w:rsidR="008342F5">
        <w:rPr>
          <w:rFonts w:ascii="Times New Roman" w:hAnsi="Times New Roman"/>
          <w:sz w:val="22"/>
          <w:szCs w:val="22"/>
        </w:rPr>
        <w:t>I</w:t>
      </w:r>
      <w:r w:rsidRPr="00684646">
        <w:rPr>
          <w:rFonts w:ascii="Times New Roman" w:hAnsi="Times New Roman"/>
          <w:sz w:val="22"/>
          <w:szCs w:val="22"/>
        </w:rPr>
        <w:t xml:space="preserve">-CAU/RS, reunida ordinariamente em Porto Alegre/RS, na sede do CAU/RS, no dia </w:t>
      </w:r>
      <w:r w:rsidR="00E92E91">
        <w:rPr>
          <w:rFonts w:ascii="Times New Roman" w:hAnsi="Times New Roman"/>
          <w:sz w:val="22"/>
          <w:szCs w:val="22"/>
        </w:rPr>
        <w:t>25</w:t>
      </w:r>
      <w:r w:rsidRPr="00684646">
        <w:rPr>
          <w:rFonts w:ascii="Times New Roman" w:hAnsi="Times New Roman"/>
          <w:sz w:val="22"/>
          <w:szCs w:val="22"/>
        </w:rPr>
        <w:t xml:space="preserve"> </w:t>
      </w:r>
      <w:r w:rsidRPr="00684646">
        <w:rPr>
          <w:rFonts w:ascii="Times New Roman" w:eastAsia="Calibri" w:hAnsi="Times New Roman"/>
          <w:sz w:val="22"/>
          <w:szCs w:val="22"/>
        </w:rPr>
        <w:t>de setembro de 2018</w:t>
      </w:r>
      <w:r w:rsidRPr="00684646">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684646" w:rsidRDefault="00684646" w:rsidP="00D720D2">
      <w:pPr>
        <w:tabs>
          <w:tab w:val="left" w:pos="1418"/>
        </w:tabs>
        <w:spacing w:before="120" w:after="120" w:line="360" w:lineRule="auto"/>
        <w:jc w:val="both"/>
        <w:rPr>
          <w:rFonts w:ascii="Times New Roman" w:hAnsi="Times New Roman"/>
          <w:sz w:val="22"/>
          <w:szCs w:val="22"/>
        </w:rPr>
      </w:pPr>
      <w:r w:rsidRPr="00684646">
        <w:rPr>
          <w:rFonts w:ascii="Times New Roman" w:hAnsi="Times New Roman"/>
          <w:sz w:val="22"/>
          <w:szCs w:val="22"/>
        </w:rPr>
        <w:t>Considerando o parecer e o voto elaborados pelo(a) Conselheiro(a) Relator(a) do</w:t>
      </w:r>
      <w:bookmarkStart w:id="0" w:name="_GoBack"/>
      <w:bookmarkEnd w:id="0"/>
      <w:r w:rsidRPr="00684646">
        <w:rPr>
          <w:rFonts w:ascii="Times New Roman" w:hAnsi="Times New Roman"/>
          <w:sz w:val="22"/>
          <w:szCs w:val="22"/>
        </w:rPr>
        <w:t xml:space="preserve"> processo,</w:t>
      </w:r>
    </w:p>
    <w:p w:rsidR="00684646" w:rsidRPr="00684646" w:rsidRDefault="00684646" w:rsidP="00D720D2">
      <w:pPr>
        <w:tabs>
          <w:tab w:val="left" w:pos="1418"/>
        </w:tabs>
        <w:spacing w:before="120" w:after="120" w:line="360" w:lineRule="auto"/>
        <w:jc w:val="both"/>
        <w:rPr>
          <w:rFonts w:ascii="Times New Roman" w:hAnsi="Times New Roman"/>
          <w:sz w:val="22"/>
          <w:szCs w:val="22"/>
        </w:rPr>
      </w:pPr>
      <w:r w:rsidRPr="00684646">
        <w:rPr>
          <w:rFonts w:ascii="Times New Roman" w:hAnsi="Times New Roman"/>
          <w:b/>
          <w:sz w:val="22"/>
          <w:szCs w:val="22"/>
        </w:rPr>
        <w:t>DELIBEROU</w:t>
      </w:r>
      <w:r w:rsidRPr="00684646">
        <w:rPr>
          <w:rFonts w:ascii="Times New Roman" w:hAnsi="Times New Roman"/>
          <w:sz w:val="22"/>
          <w:szCs w:val="22"/>
        </w:rPr>
        <w:t xml:space="preserve"> por:</w:t>
      </w:r>
    </w:p>
    <w:p w:rsidR="00684646" w:rsidRPr="00684646" w:rsidRDefault="00684646" w:rsidP="00D720D2">
      <w:pPr>
        <w:pStyle w:val="PargrafodaLista"/>
        <w:numPr>
          <w:ilvl w:val="0"/>
          <w:numId w:val="30"/>
        </w:numPr>
        <w:tabs>
          <w:tab w:val="left" w:pos="284"/>
        </w:tabs>
        <w:spacing w:before="120" w:after="120" w:line="360" w:lineRule="auto"/>
        <w:ind w:left="284" w:hanging="284"/>
        <w:jc w:val="both"/>
        <w:rPr>
          <w:rFonts w:ascii="Times New Roman" w:hAnsi="Times New Roman"/>
          <w:sz w:val="22"/>
          <w:szCs w:val="22"/>
        </w:rPr>
      </w:pPr>
      <w:r w:rsidRPr="00684646">
        <w:rPr>
          <w:rFonts w:ascii="Times New Roman" w:hAnsi="Times New Roman"/>
          <w:b/>
          <w:sz w:val="22"/>
          <w:szCs w:val="22"/>
          <w:u w:val="single"/>
        </w:rPr>
        <w:t>Aprovar</w:t>
      </w:r>
      <w:r w:rsidRPr="00684646">
        <w:rPr>
          <w:rFonts w:ascii="Times New Roman" w:hAnsi="Times New Roman"/>
          <w:sz w:val="22"/>
          <w:szCs w:val="22"/>
        </w:rPr>
        <w:t xml:space="preserve"> o parecer do(a) Conselheiro(a) Relator(a), pela </w:t>
      </w:r>
      <w:r w:rsidR="006E41F7" w:rsidRPr="00684646">
        <w:rPr>
          <w:rFonts w:ascii="Times New Roman" w:hAnsi="Times New Roman"/>
          <w:b/>
          <w:sz w:val="22"/>
          <w:szCs w:val="22"/>
        </w:rPr>
        <w:t>improcedência</w:t>
      </w:r>
      <w:r w:rsidR="006E41F7" w:rsidRPr="00684646">
        <w:rPr>
          <w:rFonts w:ascii="Times New Roman" w:hAnsi="Times New Roman"/>
          <w:sz w:val="22"/>
          <w:szCs w:val="22"/>
        </w:rPr>
        <w:t xml:space="preserve"> da impugnação oferecida pel</w:t>
      </w:r>
      <w:r w:rsidR="006E41F7">
        <w:rPr>
          <w:rFonts w:ascii="Times New Roman" w:hAnsi="Times New Roman"/>
          <w:sz w:val="22"/>
          <w:szCs w:val="22"/>
        </w:rPr>
        <w:t>a</w:t>
      </w:r>
      <w:r w:rsidR="006E41F7" w:rsidRPr="00684646">
        <w:rPr>
          <w:rFonts w:ascii="Times New Roman" w:hAnsi="Times New Roman"/>
          <w:sz w:val="22"/>
          <w:szCs w:val="22"/>
        </w:rPr>
        <w:t xml:space="preserve"> Arquitet</w:t>
      </w:r>
      <w:r w:rsidR="005D32E5">
        <w:rPr>
          <w:rFonts w:ascii="Times New Roman" w:hAnsi="Times New Roman"/>
          <w:sz w:val="22"/>
          <w:szCs w:val="22"/>
        </w:rPr>
        <w:t>a</w:t>
      </w:r>
      <w:r w:rsidR="006E41F7" w:rsidRPr="00684646">
        <w:rPr>
          <w:rFonts w:ascii="Times New Roman" w:hAnsi="Times New Roman"/>
          <w:sz w:val="22"/>
          <w:szCs w:val="22"/>
        </w:rPr>
        <w:t xml:space="preserve"> e Urbanista </w:t>
      </w:r>
      <w:r w:rsidR="006E41F7" w:rsidRPr="00684646">
        <w:rPr>
          <w:rFonts w:ascii="Times New Roman" w:eastAsia="Calibri" w:hAnsi="Times New Roman"/>
          <w:sz w:val="22"/>
          <w:szCs w:val="22"/>
        </w:rPr>
        <w:t>MARIA CRISTINA DIAS LAY</w:t>
      </w:r>
      <w:r w:rsidR="006E41F7" w:rsidRPr="00684646">
        <w:rPr>
          <w:rFonts w:ascii="Times New Roman" w:hAnsi="Times New Roman"/>
          <w:sz w:val="22"/>
          <w:szCs w:val="22"/>
        </w:rPr>
        <w:t>.</w:t>
      </w:r>
      <w:r w:rsidR="006E41F7" w:rsidRPr="00684646">
        <w:rPr>
          <w:rFonts w:ascii="Times New Roman" w:eastAsia="Calibri" w:hAnsi="Times New Roman"/>
          <w:sz w:val="22"/>
          <w:szCs w:val="22"/>
        </w:rPr>
        <w:t xml:space="preserve"> – CPF 292.353.830-72</w:t>
      </w:r>
      <w:r w:rsidR="006E41F7" w:rsidRPr="00684646">
        <w:rPr>
          <w:rFonts w:ascii="Times New Roman" w:hAnsi="Times New Roman"/>
          <w:sz w:val="22"/>
          <w:szCs w:val="22"/>
        </w:rPr>
        <w:t>, com o fim de, com base nos elementos probatórios existentes nos autos, manter o débito relativo às anuidades de 2013, 2014, 2015, 2016 e 2017, visto que ausente solicitação de baixa de registro, a qual constitui ato voluntário do profissional e que, nos termos do Art. 5º da Lei nº 12.514/2011, o fato gerador das anuidades é a existência de inscrição no Conselho, bem como pelo fato de que a alegada</w:t>
      </w:r>
      <w:r w:rsidR="006E41F7">
        <w:rPr>
          <w:rFonts w:ascii="Times New Roman" w:hAnsi="Times New Roman"/>
          <w:sz w:val="22"/>
          <w:szCs w:val="22"/>
        </w:rPr>
        <w:t xml:space="preserve"> docência e a</w:t>
      </w:r>
      <w:r w:rsidR="006E41F7" w:rsidRPr="00684646">
        <w:rPr>
          <w:rFonts w:ascii="Times New Roman" w:hAnsi="Times New Roman"/>
          <w:sz w:val="22"/>
          <w:szCs w:val="22"/>
        </w:rPr>
        <w:t xml:space="preserve"> aposentadoria por tempo de contribuição, por si só, não cessa o fato gerador das anuidades</w:t>
      </w:r>
      <w:r w:rsidRPr="00684646">
        <w:rPr>
          <w:rFonts w:ascii="Times New Roman" w:hAnsi="Times New Roman"/>
          <w:sz w:val="22"/>
          <w:szCs w:val="22"/>
        </w:rPr>
        <w:t>.</w:t>
      </w:r>
    </w:p>
    <w:p w:rsidR="00684646" w:rsidRPr="00684646" w:rsidRDefault="00684646" w:rsidP="00D720D2">
      <w:pPr>
        <w:pStyle w:val="PargrafodaLista"/>
        <w:numPr>
          <w:ilvl w:val="0"/>
          <w:numId w:val="30"/>
        </w:numPr>
        <w:tabs>
          <w:tab w:val="left" w:pos="284"/>
        </w:tabs>
        <w:spacing w:before="120" w:after="120" w:line="360" w:lineRule="auto"/>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684646" w:rsidRDefault="00684646" w:rsidP="00D720D2">
      <w:pPr>
        <w:pStyle w:val="PargrafodaLista"/>
        <w:numPr>
          <w:ilvl w:val="0"/>
          <w:numId w:val="30"/>
        </w:numPr>
        <w:tabs>
          <w:tab w:val="left" w:pos="284"/>
        </w:tabs>
        <w:spacing w:before="120" w:after="120" w:line="360" w:lineRule="auto"/>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Jurídica do CAU/RS para parecer em caso de interposição de recurso ao Plenário do CAU/RS.</w:t>
      </w:r>
    </w:p>
    <w:p w:rsidR="00684646" w:rsidRPr="00684646" w:rsidRDefault="00684646" w:rsidP="00D720D2">
      <w:pPr>
        <w:pStyle w:val="PargrafodaLista"/>
        <w:numPr>
          <w:ilvl w:val="0"/>
          <w:numId w:val="30"/>
        </w:numPr>
        <w:tabs>
          <w:tab w:val="left" w:pos="284"/>
        </w:tabs>
        <w:spacing w:before="120" w:after="120" w:line="360" w:lineRule="auto"/>
        <w:ind w:left="284" w:hanging="284"/>
        <w:jc w:val="both"/>
        <w:rPr>
          <w:rFonts w:ascii="Times New Roman" w:hAnsi="Times New Roman"/>
          <w:sz w:val="22"/>
          <w:szCs w:val="22"/>
        </w:rPr>
      </w:pPr>
      <w:r w:rsidRPr="00684646">
        <w:rPr>
          <w:rFonts w:ascii="Times New Roman" w:hAnsi="Times New Roman"/>
          <w:b/>
          <w:sz w:val="22"/>
          <w:szCs w:val="22"/>
          <w:u w:val="single"/>
        </w:rPr>
        <w:t>Submeter</w:t>
      </w:r>
      <w:r w:rsidRPr="00684646">
        <w:rPr>
          <w:rFonts w:ascii="Times New Roman" w:hAnsi="Times New Roman"/>
          <w:sz w:val="22"/>
          <w:szCs w:val="22"/>
        </w:rPr>
        <w:t xml:space="preserve"> ao Plenário do CAU/RS para que proceda ao julgamento do recurso, que porventura venha a ser interposto.</w:t>
      </w:r>
    </w:p>
    <w:p w:rsidR="00684646" w:rsidRPr="002F6615" w:rsidRDefault="00684646" w:rsidP="00D720D2">
      <w:pPr>
        <w:pStyle w:val="PargrafodaLista"/>
        <w:numPr>
          <w:ilvl w:val="0"/>
          <w:numId w:val="30"/>
        </w:numPr>
        <w:spacing w:before="120" w:after="120" w:line="360" w:lineRule="auto"/>
        <w:ind w:left="284" w:hanging="284"/>
        <w:jc w:val="both"/>
        <w:rPr>
          <w:rFonts w:ascii="Times New Roman" w:eastAsia="Calibri"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após o julgamento efetuado pelo Plenário do CAU/RS de eventual recurso,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da decisão.</w:t>
      </w:r>
      <w:r w:rsidRPr="00684646">
        <w:rPr>
          <w:rFonts w:ascii="Times New Roman" w:eastAsia="Calibri" w:hAnsi="Times New Roman"/>
          <w:sz w:val="22"/>
          <w:szCs w:val="22"/>
        </w:rPr>
        <w:t xml:space="preserve"> </w:t>
      </w:r>
    </w:p>
    <w:p w:rsidR="00684646" w:rsidRDefault="00684646" w:rsidP="00D720D2">
      <w:pPr>
        <w:tabs>
          <w:tab w:val="left" w:pos="1418"/>
        </w:tabs>
        <w:spacing w:before="120" w:after="120" w:line="360" w:lineRule="auto"/>
        <w:jc w:val="center"/>
        <w:rPr>
          <w:rFonts w:ascii="Times New Roman" w:eastAsia="Calibri" w:hAnsi="Times New Roman"/>
          <w:sz w:val="22"/>
          <w:szCs w:val="22"/>
        </w:rPr>
      </w:pPr>
    </w:p>
    <w:p w:rsidR="004F2016" w:rsidRDefault="008342BE" w:rsidP="00D720D2">
      <w:pPr>
        <w:tabs>
          <w:tab w:val="left" w:pos="1418"/>
        </w:tabs>
        <w:spacing w:before="120" w:after="120" w:line="360" w:lineRule="auto"/>
        <w:jc w:val="both"/>
        <w:rPr>
          <w:rFonts w:ascii="Times New Roman" w:eastAsia="Calibri" w:hAnsi="Times New Roman"/>
          <w:sz w:val="22"/>
          <w:szCs w:val="22"/>
        </w:rPr>
      </w:pPr>
      <w:r>
        <w:rPr>
          <w:rFonts w:ascii="Times New Roman" w:eastAsia="Calibri" w:hAnsi="Times New Roman"/>
          <w:sz w:val="22"/>
          <w:szCs w:val="22"/>
        </w:rPr>
        <w:t>Em conformidade com o Regimento Interno do CAU/RS, artigo 25, inciso VI, os conselheiros Rômulo Plentz Giralt e Emilio Merino Dominguez declaram-se impedidos de apreciar a matéria.</w:t>
      </w:r>
    </w:p>
    <w:p w:rsidR="004F2016" w:rsidRDefault="004F2016" w:rsidP="00D720D2">
      <w:pPr>
        <w:tabs>
          <w:tab w:val="left" w:pos="1418"/>
        </w:tabs>
        <w:spacing w:before="120" w:after="120" w:line="360" w:lineRule="auto"/>
        <w:jc w:val="both"/>
        <w:rPr>
          <w:rFonts w:ascii="Times New Roman" w:eastAsia="Calibri" w:hAnsi="Times New Roman"/>
          <w:sz w:val="22"/>
          <w:szCs w:val="22"/>
        </w:rPr>
      </w:pPr>
      <w:r>
        <w:rPr>
          <w:rFonts w:ascii="Times New Roman" w:eastAsia="Calibri" w:hAnsi="Times New Roman"/>
          <w:sz w:val="22"/>
          <w:szCs w:val="22"/>
        </w:rPr>
        <w:t xml:space="preserve">Com </w:t>
      </w:r>
      <w:r w:rsidRPr="008342BE">
        <w:rPr>
          <w:rFonts w:ascii="Times New Roman" w:eastAsia="Calibri" w:hAnsi="Times New Roman"/>
          <w:b/>
          <w:sz w:val="22"/>
          <w:szCs w:val="22"/>
        </w:rPr>
        <w:t xml:space="preserve">02 votos favoráveis </w:t>
      </w:r>
      <w:r>
        <w:rPr>
          <w:rFonts w:ascii="Times New Roman" w:eastAsia="Calibri" w:hAnsi="Times New Roman"/>
          <w:sz w:val="22"/>
          <w:szCs w:val="22"/>
        </w:rPr>
        <w:t>dos conselheiros Alvino</w:t>
      </w:r>
      <w:r w:rsidR="008342BE">
        <w:rPr>
          <w:rFonts w:ascii="Times New Roman" w:eastAsia="Calibri" w:hAnsi="Times New Roman"/>
          <w:sz w:val="22"/>
          <w:szCs w:val="22"/>
        </w:rPr>
        <w:t xml:space="preserve"> Jara</w:t>
      </w:r>
      <w:r>
        <w:rPr>
          <w:rFonts w:ascii="Times New Roman" w:eastAsia="Calibri" w:hAnsi="Times New Roman"/>
          <w:sz w:val="22"/>
          <w:szCs w:val="22"/>
        </w:rPr>
        <w:t xml:space="preserve"> e Raquel</w:t>
      </w:r>
      <w:r w:rsidR="008342BE">
        <w:rPr>
          <w:rFonts w:ascii="Times New Roman" w:eastAsia="Calibri" w:hAnsi="Times New Roman"/>
          <w:sz w:val="22"/>
          <w:szCs w:val="22"/>
        </w:rPr>
        <w:t xml:space="preserve"> Rhoden Bresolin</w:t>
      </w:r>
      <w:r>
        <w:rPr>
          <w:rFonts w:ascii="Times New Roman" w:eastAsia="Calibri" w:hAnsi="Times New Roman"/>
          <w:sz w:val="22"/>
          <w:szCs w:val="22"/>
        </w:rPr>
        <w:t>.</w:t>
      </w:r>
    </w:p>
    <w:p w:rsidR="004F2016" w:rsidRPr="00684646" w:rsidRDefault="004F2016" w:rsidP="00D720D2">
      <w:pPr>
        <w:tabs>
          <w:tab w:val="left" w:pos="1418"/>
        </w:tabs>
        <w:spacing w:before="120" w:after="120" w:line="360" w:lineRule="auto"/>
        <w:jc w:val="center"/>
        <w:rPr>
          <w:rFonts w:ascii="Times New Roman" w:eastAsia="Calibri" w:hAnsi="Times New Roman"/>
          <w:sz w:val="22"/>
          <w:szCs w:val="22"/>
        </w:rPr>
      </w:pPr>
    </w:p>
    <w:p w:rsidR="005C67A7" w:rsidRPr="00684646" w:rsidRDefault="00684646" w:rsidP="00D720D2">
      <w:pPr>
        <w:tabs>
          <w:tab w:val="left" w:pos="1418"/>
        </w:tabs>
        <w:spacing w:before="120" w:after="120" w:line="360" w:lineRule="auto"/>
        <w:jc w:val="center"/>
        <w:rPr>
          <w:rFonts w:ascii="Times New Roman" w:hAnsi="Times New Roman"/>
          <w:sz w:val="22"/>
          <w:szCs w:val="22"/>
        </w:rPr>
      </w:pPr>
      <w:r w:rsidRPr="00684646">
        <w:rPr>
          <w:rFonts w:ascii="Times New Roman" w:eastAsia="Calibri" w:hAnsi="Times New Roman"/>
          <w:sz w:val="22"/>
          <w:szCs w:val="22"/>
        </w:rPr>
        <w:t xml:space="preserve">Porto Alegre, </w:t>
      </w:r>
      <w:r w:rsidR="00E92E91">
        <w:rPr>
          <w:rFonts w:ascii="Times New Roman" w:eastAsia="Calibri" w:hAnsi="Times New Roman"/>
          <w:sz w:val="22"/>
          <w:szCs w:val="22"/>
        </w:rPr>
        <w:t>25</w:t>
      </w:r>
      <w:r w:rsidRPr="00684646">
        <w:rPr>
          <w:rFonts w:ascii="Times New Roman" w:eastAsia="Calibri" w:hAnsi="Times New Roman"/>
          <w:sz w:val="22"/>
          <w:szCs w:val="22"/>
        </w:rPr>
        <w:t xml:space="preserve"> de setembro de 2018</w:t>
      </w:r>
      <w:r w:rsidR="004F2016">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75"/>
        </w:trPr>
        <w:tc>
          <w:tcPr>
            <w:tcW w:w="2479"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b/>
                <w:sz w:val="22"/>
                <w:szCs w:val="22"/>
              </w:rPr>
              <w:t>RÔMULO PLENTZ GIRALT</w:t>
            </w:r>
          </w:p>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 xml:space="preserve">Coordenador </w:t>
            </w:r>
          </w:p>
        </w:tc>
        <w:tc>
          <w:tcPr>
            <w:tcW w:w="2521"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D720D2">
            <w:pPr>
              <w:tabs>
                <w:tab w:val="left" w:pos="1418"/>
              </w:tabs>
              <w:spacing w:line="360"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b/>
                <w:sz w:val="22"/>
                <w:szCs w:val="22"/>
              </w:rPr>
              <w:t>EMILIO MERINO DOMINGUEZ</w:t>
            </w:r>
          </w:p>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Membro – Suplente</w:t>
            </w:r>
          </w:p>
        </w:tc>
        <w:tc>
          <w:tcPr>
            <w:tcW w:w="2521" w:type="pct"/>
            <w:shd w:val="clear" w:color="auto" w:fill="auto"/>
          </w:tcPr>
          <w:p w:rsidR="00684646" w:rsidRPr="00684646" w:rsidRDefault="00684646" w:rsidP="00D720D2">
            <w:pPr>
              <w:tabs>
                <w:tab w:val="left" w:pos="1418"/>
              </w:tabs>
              <w:spacing w:line="360" w:lineRule="auto"/>
              <w:rPr>
                <w:rFonts w:ascii="Times New Roman" w:hAnsi="Times New Roman"/>
                <w:sz w:val="22"/>
                <w:szCs w:val="22"/>
              </w:rPr>
            </w:pPr>
            <w:r w:rsidRPr="00684646">
              <w:rPr>
                <w:rFonts w:ascii="Times New Roman" w:hAnsi="Times New Roman"/>
                <w:sz w:val="22"/>
                <w:szCs w:val="22"/>
              </w:rPr>
              <w:t>______________________________________</w:t>
            </w:r>
          </w:p>
        </w:tc>
      </w:tr>
    </w:tbl>
    <w:p w:rsidR="00684646" w:rsidRPr="00684646" w:rsidRDefault="00684646" w:rsidP="00D720D2">
      <w:pPr>
        <w:tabs>
          <w:tab w:val="left" w:pos="1418"/>
        </w:tabs>
        <w:spacing w:line="360" w:lineRule="auto"/>
        <w:rPr>
          <w:rFonts w:ascii="Times New Roman" w:hAnsi="Times New Roman"/>
          <w:sz w:val="22"/>
          <w:szCs w:val="22"/>
        </w:rPr>
      </w:pPr>
    </w:p>
    <w:p w:rsidR="00A56089" w:rsidRPr="00E92E91" w:rsidRDefault="00A56089" w:rsidP="00D720D2">
      <w:pPr>
        <w:tabs>
          <w:tab w:val="left" w:pos="1418"/>
        </w:tabs>
        <w:spacing w:before="120" w:after="120" w:line="360" w:lineRule="auto"/>
        <w:ind w:left="360"/>
        <w:jc w:val="both"/>
        <w:rPr>
          <w:rFonts w:ascii="Times New Roman" w:hAnsi="Times New Roman"/>
          <w:sz w:val="22"/>
          <w:szCs w:val="22"/>
        </w:rPr>
      </w:pPr>
    </w:p>
    <w:sectPr w:rsidR="00A56089" w:rsidRPr="00E92E91"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91D" w:rsidRDefault="0099591D">
      <w:r>
        <w:separator/>
      </w:r>
    </w:p>
  </w:endnote>
  <w:endnote w:type="continuationSeparator" w:id="0">
    <w:p w:rsidR="0099591D" w:rsidRDefault="0099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91D" w:rsidRDefault="0099591D">
      <w:r>
        <w:separator/>
      </w:r>
    </w:p>
  </w:footnote>
  <w:footnote w:type="continuationSeparator" w:id="0">
    <w:p w:rsidR="0099591D" w:rsidRDefault="00995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3B2D"/>
    <w:rsid w:val="0001455E"/>
    <w:rsid w:val="000154E1"/>
    <w:rsid w:val="00016BA5"/>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2FC3"/>
    <w:rsid w:val="00123042"/>
    <w:rsid w:val="0012402E"/>
    <w:rsid w:val="00135590"/>
    <w:rsid w:val="00135DA7"/>
    <w:rsid w:val="00143590"/>
    <w:rsid w:val="00145005"/>
    <w:rsid w:val="001511C9"/>
    <w:rsid w:val="00153789"/>
    <w:rsid w:val="00153E55"/>
    <w:rsid w:val="00164301"/>
    <w:rsid w:val="0016484D"/>
    <w:rsid w:val="0016670A"/>
    <w:rsid w:val="00167E7E"/>
    <w:rsid w:val="0017061E"/>
    <w:rsid w:val="00170C7D"/>
    <w:rsid w:val="00171DE2"/>
    <w:rsid w:val="00173D2E"/>
    <w:rsid w:val="00174940"/>
    <w:rsid w:val="00174D55"/>
    <w:rsid w:val="00180166"/>
    <w:rsid w:val="001812D1"/>
    <w:rsid w:val="00181A85"/>
    <w:rsid w:val="001820E5"/>
    <w:rsid w:val="00183A48"/>
    <w:rsid w:val="00186526"/>
    <w:rsid w:val="0018655C"/>
    <w:rsid w:val="0019362F"/>
    <w:rsid w:val="00193EE5"/>
    <w:rsid w:val="00197A85"/>
    <w:rsid w:val="001A0563"/>
    <w:rsid w:val="001A3726"/>
    <w:rsid w:val="001B5217"/>
    <w:rsid w:val="001D1939"/>
    <w:rsid w:val="001D363B"/>
    <w:rsid w:val="001D3CDB"/>
    <w:rsid w:val="001D558E"/>
    <w:rsid w:val="001D6201"/>
    <w:rsid w:val="001D7808"/>
    <w:rsid w:val="001E15D4"/>
    <w:rsid w:val="001E1B9B"/>
    <w:rsid w:val="001E2E6C"/>
    <w:rsid w:val="001F2DC5"/>
    <w:rsid w:val="001F6102"/>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476A"/>
    <w:rsid w:val="002667E2"/>
    <w:rsid w:val="00271145"/>
    <w:rsid w:val="00271AFB"/>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2F6615"/>
    <w:rsid w:val="003039EF"/>
    <w:rsid w:val="00305DC6"/>
    <w:rsid w:val="003062AB"/>
    <w:rsid w:val="0030724A"/>
    <w:rsid w:val="003102E1"/>
    <w:rsid w:val="00311BF5"/>
    <w:rsid w:val="00321659"/>
    <w:rsid w:val="0032225C"/>
    <w:rsid w:val="003241C2"/>
    <w:rsid w:val="0032536C"/>
    <w:rsid w:val="00325C00"/>
    <w:rsid w:val="00325EF1"/>
    <w:rsid w:val="00340503"/>
    <w:rsid w:val="00343041"/>
    <w:rsid w:val="003505E4"/>
    <w:rsid w:val="00351EB8"/>
    <w:rsid w:val="00352307"/>
    <w:rsid w:val="00353C04"/>
    <w:rsid w:val="00354060"/>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0BCE"/>
    <w:rsid w:val="003F12A5"/>
    <w:rsid w:val="003F3074"/>
    <w:rsid w:val="003F5F95"/>
    <w:rsid w:val="00403559"/>
    <w:rsid w:val="004052D8"/>
    <w:rsid w:val="00410116"/>
    <w:rsid w:val="004105B1"/>
    <w:rsid w:val="004130E0"/>
    <w:rsid w:val="00413CC6"/>
    <w:rsid w:val="00413E0E"/>
    <w:rsid w:val="00420432"/>
    <w:rsid w:val="004206CC"/>
    <w:rsid w:val="0042076A"/>
    <w:rsid w:val="0042176A"/>
    <w:rsid w:val="004319B2"/>
    <w:rsid w:val="00432A96"/>
    <w:rsid w:val="004336AD"/>
    <w:rsid w:val="00434379"/>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2EE"/>
    <w:rsid w:val="004B3D0C"/>
    <w:rsid w:val="004B6DCD"/>
    <w:rsid w:val="004C1E9A"/>
    <w:rsid w:val="004C1F38"/>
    <w:rsid w:val="004C52FB"/>
    <w:rsid w:val="004C763A"/>
    <w:rsid w:val="004D351A"/>
    <w:rsid w:val="004D5132"/>
    <w:rsid w:val="004D66ED"/>
    <w:rsid w:val="004E3809"/>
    <w:rsid w:val="004E52A1"/>
    <w:rsid w:val="004F0094"/>
    <w:rsid w:val="004F2016"/>
    <w:rsid w:val="004F25C8"/>
    <w:rsid w:val="004F2EA5"/>
    <w:rsid w:val="004F56E7"/>
    <w:rsid w:val="004F59DE"/>
    <w:rsid w:val="004F6A99"/>
    <w:rsid w:val="00501A9E"/>
    <w:rsid w:val="0050553E"/>
    <w:rsid w:val="00521EDA"/>
    <w:rsid w:val="005260F0"/>
    <w:rsid w:val="005265EB"/>
    <w:rsid w:val="00527588"/>
    <w:rsid w:val="00530C1E"/>
    <w:rsid w:val="00531AF5"/>
    <w:rsid w:val="005340D4"/>
    <w:rsid w:val="00540186"/>
    <w:rsid w:val="00545E80"/>
    <w:rsid w:val="00546E37"/>
    <w:rsid w:val="00546EA2"/>
    <w:rsid w:val="00547AD1"/>
    <w:rsid w:val="0055186E"/>
    <w:rsid w:val="00551B24"/>
    <w:rsid w:val="005534F0"/>
    <w:rsid w:val="00553B02"/>
    <w:rsid w:val="005549EE"/>
    <w:rsid w:val="005551F7"/>
    <w:rsid w:val="00555AEB"/>
    <w:rsid w:val="00556541"/>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3297"/>
    <w:rsid w:val="005A4C74"/>
    <w:rsid w:val="005A7396"/>
    <w:rsid w:val="005B31AF"/>
    <w:rsid w:val="005B33FC"/>
    <w:rsid w:val="005B4A9B"/>
    <w:rsid w:val="005B5C6B"/>
    <w:rsid w:val="005C062C"/>
    <w:rsid w:val="005C15D6"/>
    <w:rsid w:val="005C220B"/>
    <w:rsid w:val="005C45E4"/>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B54"/>
    <w:rsid w:val="00671FF2"/>
    <w:rsid w:val="0068297C"/>
    <w:rsid w:val="00682D9A"/>
    <w:rsid w:val="006839AC"/>
    <w:rsid w:val="00684646"/>
    <w:rsid w:val="00686E7B"/>
    <w:rsid w:val="006973EA"/>
    <w:rsid w:val="006A2024"/>
    <w:rsid w:val="006A2EA8"/>
    <w:rsid w:val="006A5986"/>
    <w:rsid w:val="006B5082"/>
    <w:rsid w:val="006C0E23"/>
    <w:rsid w:val="006C1C21"/>
    <w:rsid w:val="006C211B"/>
    <w:rsid w:val="006C324F"/>
    <w:rsid w:val="006C3AAC"/>
    <w:rsid w:val="006D0DC2"/>
    <w:rsid w:val="006D0DD4"/>
    <w:rsid w:val="006D0F9B"/>
    <w:rsid w:val="006D1B8E"/>
    <w:rsid w:val="006D3DDB"/>
    <w:rsid w:val="006D5A0A"/>
    <w:rsid w:val="006D6448"/>
    <w:rsid w:val="006D7428"/>
    <w:rsid w:val="006E1A9B"/>
    <w:rsid w:val="006E41F7"/>
    <w:rsid w:val="006F22BA"/>
    <w:rsid w:val="006F5A2F"/>
    <w:rsid w:val="0070278B"/>
    <w:rsid w:val="0070367A"/>
    <w:rsid w:val="0071156F"/>
    <w:rsid w:val="0071168F"/>
    <w:rsid w:val="00712108"/>
    <w:rsid w:val="007123D8"/>
    <w:rsid w:val="00712E67"/>
    <w:rsid w:val="00717FEE"/>
    <w:rsid w:val="00721CDF"/>
    <w:rsid w:val="007335BA"/>
    <w:rsid w:val="00733B06"/>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1F92"/>
    <w:rsid w:val="007C260B"/>
    <w:rsid w:val="007C5CD2"/>
    <w:rsid w:val="007C68A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42BE"/>
    <w:rsid w:val="008342F5"/>
    <w:rsid w:val="00836D6D"/>
    <w:rsid w:val="00837277"/>
    <w:rsid w:val="00841A2A"/>
    <w:rsid w:val="008439B7"/>
    <w:rsid w:val="00844208"/>
    <w:rsid w:val="008446B8"/>
    <w:rsid w:val="00854569"/>
    <w:rsid w:val="00857617"/>
    <w:rsid w:val="008603C7"/>
    <w:rsid w:val="0086129B"/>
    <w:rsid w:val="008622B1"/>
    <w:rsid w:val="00866B60"/>
    <w:rsid w:val="00873BAB"/>
    <w:rsid w:val="00875D64"/>
    <w:rsid w:val="008820B9"/>
    <w:rsid w:val="00893C2F"/>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0F11"/>
    <w:rsid w:val="00933794"/>
    <w:rsid w:val="00934F13"/>
    <w:rsid w:val="009362F3"/>
    <w:rsid w:val="00945D2B"/>
    <w:rsid w:val="009504DF"/>
    <w:rsid w:val="009519EB"/>
    <w:rsid w:val="00953C9A"/>
    <w:rsid w:val="00962731"/>
    <w:rsid w:val="00962C48"/>
    <w:rsid w:val="0096441F"/>
    <w:rsid w:val="00965848"/>
    <w:rsid w:val="0096760D"/>
    <w:rsid w:val="00972FDB"/>
    <w:rsid w:val="00977288"/>
    <w:rsid w:val="00984342"/>
    <w:rsid w:val="00985EC7"/>
    <w:rsid w:val="00986211"/>
    <w:rsid w:val="00995531"/>
    <w:rsid w:val="0099591D"/>
    <w:rsid w:val="009A076A"/>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1EDF"/>
    <w:rsid w:val="00A34EC5"/>
    <w:rsid w:val="00A351FE"/>
    <w:rsid w:val="00A371C2"/>
    <w:rsid w:val="00A40328"/>
    <w:rsid w:val="00A41D6C"/>
    <w:rsid w:val="00A42014"/>
    <w:rsid w:val="00A43ADB"/>
    <w:rsid w:val="00A479E5"/>
    <w:rsid w:val="00A551EE"/>
    <w:rsid w:val="00A56089"/>
    <w:rsid w:val="00A652E4"/>
    <w:rsid w:val="00A70C40"/>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75DAB"/>
    <w:rsid w:val="00B76572"/>
    <w:rsid w:val="00B84B0C"/>
    <w:rsid w:val="00B85ECC"/>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0608"/>
    <w:rsid w:val="00D0256B"/>
    <w:rsid w:val="00D02CD7"/>
    <w:rsid w:val="00D0377A"/>
    <w:rsid w:val="00D053D2"/>
    <w:rsid w:val="00D06D87"/>
    <w:rsid w:val="00D11B1F"/>
    <w:rsid w:val="00D1233F"/>
    <w:rsid w:val="00D14C41"/>
    <w:rsid w:val="00D1657A"/>
    <w:rsid w:val="00D20F0C"/>
    <w:rsid w:val="00D216CC"/>
    <w:rsid w:val="00D23428"/>
    <w:rsid w:val="00D313B8"/>
    <w:rsid w:val="00D33F09"/>
    <w:rsid w:val="00D46D25"/>
    <w:rsid w:val="00D46DCE"/>
    <w:rsid w:val="00D507ED"/>
    <w:rsid w:val="00D52BFD"/>
    <w:rsid w:val="00D52EDF"/>
    <w:rsid w:val="00D63ED3"/>
    <w:rsid w:val="00D67414"/>
    <w:rsid w:val="00D720D2"/>
    <w:rsid w:val="00D72CEE"/>
    <w:rsid w:val="00D74C3B"/>
    <w:rsid w:val="00D75B6E"/>
    <w:rsid w:val="00D7697D"/>
    <w:rsid w:val="00D81216"/>
    <w:rsid w:val="00D823FF"/>
    <w:rsid w:val="00D90128"/>
    <w:rsid w:val="00D90758"/>
    <w:rsid w:val="00D95398"/>
    <w:rsid w:val="00D966C9"/>
    <w:rsid w:val="00D97662"/>
    <w:rsid w:val="00DA15EB"/>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3F69"/>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33FB"/>
    <w:rsid w:val="00E8550E"/>
    <w:rsid w:val="00E90912"/>
    <w:rsid w:val="00E92E91"/>
    <w:rsid w:val="00E93404"/>
    <w:rsid w:val="00EA18A5"/>
    <w:rsid w:val="00EA5068"/>
    <w:rsid w:val="00EA538D"/>
    <w:rsid w:val="00EA7A90"/>
    <w:rsid w:val="00EB0D38"/>
    <w:rsid w:val="00EB3845"/>
    <w:rsid w:val="00EB66A9"/>
    <w:rsid w:val="00EC14DB"/>
    <w:rsid w:val="00EC41FA"/>
    <w:rsid w:val="00EC4876"/>
    <w:rsid w:val="00ED0B34"/>
    <w:rsid w:val="00EE4085"/>
    <w:rsid w:val="00EF3444"/>
    <w:rsid w:val="00EF3EC9"/>
    <w:rsid w:val="00EF6519"/>
    <w:rsid w:val="00EF7502"/>
    <w:rsid w:val="00F04346"/>
    <w:rsid w:val="00F1106E"/>
    <w:rsid w:val="00F120F5"/>
    <w:rsid w:val="00F20C4D"/>
    <w:rsid w:val="00F24FD2"/>
    <w:rsid w:val="00F303FE"/>
    <w:rsid w:val="00F322E7"/>
    <w:rsid w:val="00F336C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76C52"/>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924"/>
    <w:rsid w:val="00FC6DAB"/>
    <w:rsid w:val="00FD09B5"/>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6A0BF60-FBE8-479B-8003-FF4ADF4B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37231-65B0-4BE9-8005-724969EC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116</TotalTime>
  <Pages>7</Pages>
  <Words>2845</Words>
  <Characters>15368</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8</cp:revision>
  <cp:lastPrinted>2018-09-25T18:08:00Z</cp:lastPrinted>
  <dcterms:created xsi:type="dcterms:W3CDTF">2018-08-01T15:57:00Z</dcterms:created>
  <dcterms:modified xsi:type="dcterms:W3CDTF">2018-09-25T18:10:00Z</dcterms:modified>
  <cp:contentStatus>2012, 2013, 2014, 2015 e 2016</cp:contentStatus>
</cp:coreProperties>
</file>