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DF79A4">
              <w:rPr>
                <w:rFonts w:ascii="Times New Roman" w:hAnsi="Times New Roman"/>
                <w:bCs/>
                <w:sz w:val="22"/>
                <w:szCs w:val="22"/>
                <w:lang w:eastAsia="pt-BR"/>
              </w:rPr>
              <w:t>811704/2019</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14E22">
            <w:pPr>
              <w:widowControl w:val="0"/>
              <w:rPr>
                <w:rFonts w:ascii="Times New Roman" w:hAnsi="Times New Roman"/>
                <w:bCs/>
                <w:sz w:val="22"/>
                <w:szCs w:val="22"/>
                <w:lang w:eastAsia="pt-BR"/>
              </w:rPr>
            </w:pPr>
            <w:r>
              <w:rPr>
                <w:rFonts w:ascii="Times New Roman" w:hAnsi="Times New Roman"/>
                <w:bCs/>
                <w:sz w:val="22"/>
                <w:szCs w:val="22"/>
                <w:lang w:eastAsia="pt-BR"/>
              </w:rPr>
              <w:t>Arquiteta e Urbanista Sheila Dambros</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E91C75"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sidRPr="00044DD9">
        <w:rPr>
          <w:rFonts w:ascii="Times New Roman" w:hAnsi="Times New Roman"/>
          <w:smallCaps/>
          <w:sz w:val="22"/>
          <w:szCs w:val="22"/>
          <w:lang w:eastAsia="pt-BR"/>
        </w:rPr>
        <w:t xml:space="preserve">DELIBERAÇÃO Nº </w:t>
      </w:r>
      <w:r w:rsidR="00F77F8E">
        <w:rPr>
          <w:rFonts w:ascii="Times New Roman" w:hAnsi="Times New Roman"/>
          <w:smallCaps/>
          <w:sz w:val="22"/>
          <w:szCs w:val="22"/>
          <w:lang w:eastAsia="pt-BR"/>
        </w:rPr>
        <w:t>014</w:t>
      </w:r>
      <w:r w:rsidRPr="00044DD9">
        <w:rPr>
          <w:rFonts w:ascii="Times New Roman" w:hAnsi="Times New Roman"/>
          <w:smallCaps/>
          <w:sz w:val="22"/>
          <w:szCs w:val="22"/>
          <w:lang w:eastAsia="pt-BR"/>
        </w:rPr>
        <w:t>/</w:t>
      </w:r>
      <w:r w:rsidR="00DF79A4">
        <w:rPr>
          <w:rFonts w:ascii="Times New Roman" w:hAnsi="Times New Roman"/>
          <w:smallCaps/>
          <w:sz w:val="22"/>
          <w:szCs w:val="22"/>
          <w:lang w:eastAsia="pt-BR"/>
        </w:rPr>
        <w:t>2019</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F77F8E">
        <w:rPr>
          <w:rFonts w:ascii="Times New Roman" w:hAnsi="Times New Roman"/>
          <w:sz w:val="22"/>
          <w:szCs w:val="22"/>
          <w:lang w:eastAsia="pt-BR"/>
        </w:rPr>
        <w:t>19 de fevereiro de 2019</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CC325C" w:rsidP="00B14E22">
      <w:pPr>
        <w:tabs>
          <w:tab w:val="left" w:pos="1418"/>
        </w:tabs>
        <w:jc w:val="both"/>
        <w:rPr>
          <w:rFonts w:ascii="Times New Roman" w:hAnsi="Times New Roman"/>
          <w:sz w:val="22"/>
          <w:szCs w:val="22"/>
        </w:rPr>
      </w:pPr>
      <w:r w:rsidRPr="00BD31D1">
        <w:rPr>
          <w:rFonts w:ascii="Times New Roman" w:hAnsi="Times New Roman"/>
          <w:sz w:val="22"/>
          <w:szCs w:val="22"/>
        </w:rPr>
        <w:t xml:space="preserve">Considerando </w:t>
      </w:r>
      <w:r w:rsidR="00B14E22" w:rsidRPr="00BD31D1">
        <w:rPr>
          <w:rFonts w:ascii="Times New Roman" w:hAnsi="Times New Roman"/>
          <w:sz w:val="22"/>
          <w:szCs w:val="22"/>
        </w:rPr>
        <w:t>o disposto no art. 2º, inciso VII, da Resolução nº</w:t>
      </w:r>
      <w:r w:rsidRPr="00BD31D1">
        <w:rPr>
          <w:rFonts w:ascii="Times New Roman" w:hAnsi="Times New Roman"/>
          <w:sz w:val="22"/>
          <w:szCs w:val="22"/>
        </w:rPr>
        <w:t xml:space="preserve"> 134</w:t>
      </w:r>
      <w:r w:rsidR="00B14E22" w:rsidRPr="00BD31D1">
        <w:rPr>
          <w:rFonts w:ascii="Times New Roman" w:hAnsi="Times New Roman"/>
          <w:sz w:val="22"/>
          <w:szCs w:val="22"/>
        </w:rPr>
        <w:t xml:space="preserve"> do CAU/BR, o qual estabelece que “</w:t>
      </w:r>
      <w:r w:rsidR="00B14E22" w:rsidRPr="00BD31D1">
        <w:rPr>
          <w:rFonts w:ascii="Times New Roman" w:hAnsi="Times New Roman"/>
          <w:i/>
          <w:sz w:val="22"/>
          <w:szCs w:val="22"/>
        </w:rPr>
        <w:t xml:space="preserve">ficarão ainda isentos do pagamento da anuidade os arquitetos e urbanistas portadores de doença grave prevista em Instrução Normativa da Secretaria da Receita Federal do Brasil que estiver em vigor para o Imposto de Renda, observados os seguintes requisitos: a) para efeito de reconhecimento de isenção, a doença deve ser comprovada mediante laudo pericial emitido por serviço de saúde oficial da União, dos Estados, do Distrito Federal ou de Município, devendo ser fixado o prazo de validade do laudo pericial, no caso de doenças passíveis de controle; b) a isenção será válida enquanto perdurar o estado de doença, devendo a comprovação, descrita na alínea “a”, ser feita anualmente pelo profissional inscrito até a efetiva cura; c) a isenção não impede a cobrança de débitos dos exercícios </w:t>
      </w:r>
      <w:r w:rsidR="00B14E22" w:rsidRPr="004D1274">
        <w:rPr>
          <w:rFonts w:ascii="Times New Roman" w:hAnsi="Times New Roman"/>
          <w:i/>
          <w:sz w:val="22"/>
          <w:szCs w:val="22"/>
        </w:rPr>
        <w:t xml:space="preserve">anteriores; d) para a isenção do valor integral da anuidade do exercício, a comprovação a que se </w:t>
      </w:r>
      <w:r w:rsidR="00B14E22" w:rsidRPr="004D1274">
        <w:rPr>
          <w:rFonts w:ascii="Times New Roman" w:hAnsi="Times New Roman"/>
          <w:i/>
          <w:sz w:val="22"/>
          <w:szCs w:val="22"/>
        </w:rPr>
        <w:lastRenderedPageBreak/>
        <w:t>refere a alínea “a” deverá ser feita até a data de vencimento para pagamento integral da anuidade; e) nos casos em que a comprovação se der após a data de vencimento da anuidade do exercício, o solicitante terá o direito de isenção referente aos duodécimos restantes do exercício</w:t>
      </w:r>
      <w:r w:rsidR="00B14E22" w:rsidRPr="004D1274">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lastRenderedPageBreak/>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5B1A34"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F77F8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Pela aprovação d</w:t>
      </w:r>
      <w:r w:rsidR="00343474">
        <w:rPr>
          <w:rFonts w:ascii="Times New Roman" w:hAnsi="Times New Roman"/>
          <w:sz w:val="22"/>
          <w:szCs w:val="22"/>
          <w:lang w:eastAsia="pt-BR"/>
        </w:rPr>
        <w:t xml:space="preserve">a procedência da solicitação </w:t>
      </w:r>
      <w:r w:rsidR="008C4F1E">
        <w:rPr>
          <w:rFonts w:ascii="Times New Roman" w:hAnsi="Times New Roman"/>
          <w:sz w:val="22"/>
          <w:szCs w:val="22"/>
          <w:lang w:eastAsia="pt-BR"/>
        </w:rPr>
        <w:t xml:space="preserve">de isenção </w:t>
      </w:r>
      <w:r w:rsidR="00DF79A4">
        <w:rPr>
          <w:rFonts w:ascii="Times New Roman" w:hAnsi="Times New Roman"/>
          <w:sz w:val="22"/>
          <w:szCs w:val="22"/>
          <w:lang w:eastAsia="pt-BR"/>
        </w:rPr>
        <w:t>da anuidade 2019</w:t>
      </w:r>
      <w:r w:rsidR="00343474">
        <w:rPr>
          <w:rFonts w:ascii="Times New Roman" w:hAnsi="Times New Roman"/>
          <w:sz w:val="22"/>
          <w:szCs w:val="22"/>
          <w:lang w:eastAsia="pt-BR"/>
        </w:rPr>
        <w:t xml:space="preserve"> da Arquiteta e Urbanista Sheila Dambros por doença grave,</w:t>
      </w:r>
      <w:r w:rsidR="00CC325C">
        <w:rPr>
          <w:rFonts w:ascii="Times New Roman" w:hAnsi="Times New Roman"/>
          <w:sz w:val="22"/>
          <w:szCs w:val="22"/>
          <w:lang w:eastAsia="pt-BR"/>
        </w:rPr>
        <w:t xml:space="preserve"> conforme previst</w:t>
      </w:r>
      <w:r w:rsidR="00343474">
        <w:rPr>
          <w:rFonts w:ascii="Times New Roman" w:hAnsi="Times New Roman"/>
          <w:sz w:val="22"/>
          <w:szCs w:val="22"/>
          <w:lang w:eastAsia="pt-BR"/>
        </w:rPr>
        <w:t>o na Resolução nº 134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F77F8E"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Por i</w:t>
      </w:r>
      <w:r w:rsidR="00CC325C">
        <w:rPr>
          <w:rFonts w:ascii="Times New Roman" w:hAnsi="Times New Roman"/>
          <w:sz w:val="22"/>
          <w:szCs w:val="22"/>
        </w:rPr>
        <w:t xml:space="preserve">nformar </w:t>
      </w:r>
      <w:r w:rsidR="00343474">
        <w:rPr>
          <w:rFonts w:ascii="Times New Roman" w:hAnsi="Times New Roman"/>
          <w:sz w:val="22"/>
          <w:szCs w:val="22"/>
        </w:rPr>
        <w:t>à</w:t>
      </w:r>
      <w:r w:rsidR="00CC325C">
        <w:rPr>
          <w:rFonts w:ascii="Times New Roman" w:hAnsi="Times New Roman"/>
          <w:sz w:val="22"/>
          <w:szCs w:val="22"/>
        </w:rPr>
        <w:t xml:space="preserve"> profissional que a</w:t>
      </w:r>
      <w:r w:rsidR="00CC325C" w:rsidRPr="000050C0">
        <w:rPr>
          <w:rFonts w:ascii="Times New Roman" w:hAnsi="Times New Roman"/>
          <w:sz w:val="22"/>
          <w:szCs w:val="22"/>
        </w:rPr>
        <w:t xml:space="preserve"> isenção será válida enquanto perdurar o estado de doença, devendo a comprovação ser feita anualmente pelo profissional inscrito até a efetiva cura;</w:t>
      </w:r>
    </w:p>
    <w:p w:rsidR="00E91C75" w:rsidRPr="00044DD9" w:rsidRDefault="00E91C75" w:rsidP="00E91C75">
      <w:pPr>
        <w:jc w:val="both"/>
        <w:rPr>
          <w:rFonts w:ascii="Times New Roman" w:hAnsi="Times New Roman"/>
          <w:sz w:val="22"/>
          <w:szCs w:val="22"/>
          <w:lang w:eastAsia="pt-BR"/>
        </w:rPr>
      </w:pPr>
    </w:p>
    <w:p w:rsidR="00E91C75" w:rsidRPr="00044DD9" w:rsidRDefault="00F77F8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Por s</w:t>
      </w:r>
      <w:r w:rsidR="00CC325C">
        <w:rPr>
          <w:rFonts w:ascii="Times New Roman" w:hAnsi="Times New Roman"/>
          <w:sz w:val="22"/>
          <w:szCs w:val="22"/>
          <w:lang w:eastAsia="pt-BR"/>
        </w:rPr>
        <w:t xml:space="preserve">ubmeter </w:t>
      </w:r>
      <w:r w:rsidR="00391CE1">
        <w:rPr>
          <w:rFonts w:ascii="Times New Roman" w:hAnsi="Times New Roman"/>
          <w:sz w:val="22"/>
          <w:szCs w:val="22"/>
          <w:lang w:eastAsia="pt-BR"/>
        </w:rPr>
        <w:t xml:space="preserve">esta deliberação </w:t>
      </w:r>
      <w:r w:rsidR="00CC325C">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E91C75" w:rsidRDefault="00E91C75" w:rsidP="00E91C75">
      <w:pPr>
        <w:jc w:val="both"/>
        <w:rPr>
          <w:rFonts w:ascii="Times New Roman" w:hAnsi="Times New Roman"/>
          <w:sz w:val="22"/>
          <w:szCs w:val="22"/>
          <w:shd w:val="clear" w:color="auto" w:fill="FFFFFF"/>
          <w:lang w:eastAsia="pt-BR"/>
        </w:rPr>
      </w:pPr>
      <w:r w:rsidRPr="00044DD9">
        <w:rPr>
          <w:rFonts w:ascii="Times New Roman" w:hAnsi="Times New Roman"/>
          <w:sz w:val="22"/>
          <w:szCs w:val="22"/>
          <w:lang w:eastAsia="pt-BR"/>
        </w:rPr>
        <w:t xml:space="preserve">Com </w:t>
      </w:r>
      <w:r w:rsidR="00F77F8E">
        <w:rPr>
          <w:rFonts w:ascii="Times New Roman" w:hAnsi="Times New Roman"/>
          <w:b/>
          <w:sz w:val="22"/>
          <w:szCs w:val="22"/>
          <w:lang w:eastAsia="pt-BR"/>
        </w:rPr>
        <w:t>03</w:t>
      </w:r>
      <w:r w:rsidRPr="00044DD9">
        <w:rPr>
          <w:rFonts w:ascii="Times New Roman" w:hAnsi="Times New Roman"/>
          <w:b/>
          <w:sz w:val="22"/>
          <w:szCs w:val="22"/>
          <w:lang w:eastAsia="pt-BR"/>
        </w:rPr>
        <w:t xml:space="preserve"> votos favoráveis</w:t>
      </w:r>
      <w:r w:rsidRPr="00044DD9">
        <w:rPr>
          <w:rFonts w:ascii="Times New Roman" w:hAnsi="Times New Roman"/>
          <w:sz w:val="22"/>
          <w:szCs w:val="22"/>
          <w:lang w:eastAsia="pt-BR"/>
        </w:rPr>
        <w:t xml:space="preserve"> dos conselheiros </w:t>
      </w:r>
      <w:r w:rsidR="00F77F8E">
        <w:rPr>
          <w:rFonts w:ascii="Times New Roman" w:hAnsi="Times New Roman"/>
          <w:sz w:val="22"/>
          <w:szCs w:val="22"/>
          <w:lang w:eastAsia="pt-BR"/>
        </w:rPr>
        <w:t>presentes</w:t>
      </w:r>
      <w:r w:rsidRPr="00044DD9">
        <w:rPr>
          <w:rFonts w:ascii="Times New Roman" w:hAnsi="Times New Roman"/>
          <w:sz w:val="22"/>
          <w:szCs w:val="22"/>
          <w:lang w:eastAsia="pt-BR"/>
        </w:rPr>
        <w:t xml:space="preserve">. </w:t>
      </w:r>
    </w:p>
    <w:p w:rsidR="00430095" w:rsidRDefault="0043009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bookmarkStart w:id="0" w:name="_GoBack"/>
      <w:bookmarkEnd w:id="0"/>
    </w:p>
    <w:p w:rsidR="00E91C75" w:rsidRDefault="00430095" w:rsidP="00E91C75">
      <w:pPr>
        <w:jc w:val="center"/>
        <w:rPr>
          <w:rFonts w:ascii="Times New Roman" w:hAnsi="Times New Roman"/>
          <w:sz w:val="22"/>
          <w:szCs w:val="22"/>
          <w:lang w:eastAsia="pt-BR"/>
        </w:rPr>
      </w:pPr>
      <w:r>
        <w:rPr>
          <w:rFonts w:ascii="Times New Roman" w:hAnsi="Times New Roman"/>
          <w:sz w:val="22"/>
          <w:szCs w:val="22"/>
          <w:lang w:eastAsia="pt-BR"/>
        </w:rPr>
        <w:t xml:space="preserve">Porto Alegre </w:t>
      </w:r>
      <w:r w:rsidR="00FA7A35">
        <w:rPr>
          <w:rFonts w:ascii="Times New Roman" w:hAnsi="Times New Roman"/>
          <w:sz w:val="22"/>
          <w:szCs w:val="22"/>
          <w:lang w:eastAsia="pt-BR"/>
        </w:rPr>
        <w:t>–</w:t>
      </w:r>
      <w:r>
        <w:rPr>
          <w:rFonts w:ascii="Times New Roman" w:hAnsi="Times New Roman"/>
          <w:sz w:val="22"/>
          <w:szCs w:val="22"/>
          <w:lang w:eastAsia="pt-BR"/>
        </w:rPr>
        <w:t xml:space="preserve"> RS</w:t>
      </w:r>
      <w:r w:rsidR="00E91C75" w:rsidRPr="00044DD9">
        <w:rPr>
          <w:rFonts w:ascii="Times New Roman" w:hAnsi="Times New Roman"/>
          <w:sz w:val="22"/>
          <w:szCs w:val="22"/>
          <w:lang w:eastAsia="pt-BR"/>
        </w:rPr>
        <w:t xml:space="preserve">, </w:t>
      </w:r>
      <w:r w:rsidR="00F77F8E">
        <w:rPr>
          <w:rFonts w:ascii="Times New Roman" w:hAnsi="Times New Roman"/>
          <w:sz w:val="22"/>
          <w:szCs w:val="22"/>
          <w:lang w:eastAsia="pt-BR"/>
        </w:rPr>
        <w:t>19</w:t>
      </w:r>
      <w:r w:rsidR="00DF79A4">
        <w:rPr>
          <w:rFonts w:ascii="Times New Roman" w:hAnsi="Times New Roman"/>
          <w:sz w:val="22"/>
          <w:szCs w:val="22"/>
          <w:lang w:eastAsia="pt-BR"/>
        </w:rPr>
        <w:t xml:space="preserve"> de fevereiro</w:t>
      </w:r>
      <w:r w:rsidR="00E91C75" w:rsidRPr="00044DD9">
        <w:rPr>
          <w:rFonts w:ascii="Times New Roman" w:hAnsi="Times New Roman"/>
          <w:sz w:val="22"/>
          <w:szCs w:val="22"/>
          <w:lang w:eastAsia="pt-BR"/>
        </w:rPr>
        <w:t xml:space="preserve"> de </w:t>
      </w:r>
      <w:r w:rsidR="00DF79A4">
        <w:rPr>
          <w:rFonts w:ascii="Times New Roman" w:hAnsi="Times New Roman"/>
          <w:sz w:val="22"/>
          <w:szCs w:val="22"/>
          <w:lang w:eastAsia="pt-BR"/>
        </w:rPr>
        <w:t>2019</w:t>
      </w:r>
      <w:r w:rsidR="00E91C75" w:rsidRPr="00044DD9">
        <w:rPr>
          <w:rFonts w:ascii="Times New Roman" w:hAnsi="Times New Roman"/>
          <w:sz w:val="22"/>
          <w:szCs w:val="22"/>
          <w:lang w:eastAsia="pt-BR"/>
        </w:rPr>
        <w:t>.</w:t>
      </w:r>
    </w:p>
    <w:p w:rsidR="008A2A27" w:rsidRPr="00044DD9" w:rsidRDefault="008A2A27" w:rsidP="00E91C75">
      <w:pPr>
        <w:jc w:val="center"/>
        <w:rPr>
          <w:rFonts w:ascii="Times New Roman" w:hAnsi="Times New Roman"/>
          <w:sz w:val="22"/>
          <w:szCs w:val="22"/>
          <w:lang w:eastAsia="pt-BR"/>
        </w:rPr>
      </w:pPr>
    </w:p>
    <w:p w:rsidR="00E91C75" w:rsidRPr="00044DD9" w:rsidRDefault="00E91C75" w:rsidP="00E91C75">
      <w:pPr>
        <w:ind w:firstLine="1701"/>
        <w:jc w:val="both"/>
        <w:rPr>
          <w:rFonts w:ascii="Times New Roman" w:hAnsi="Times New Roman"/>
          <w:sz w:val="22"/>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RÔMULO PLENTZ GIRALT</w:t>
      </w:r>
      <w:r>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E91C75" w:rsidRPr="00044DD9" w:rsidRDefault="00E91C75" w:rsidP="00E91C75">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sidRPr="00044DD9">
        <w:rPr>
          <w:rFonts w:ascii="Times New Roman" w:hAnsi="Times New Roman"/>
          <w:caps/>
          <w:spacing w:val="4"/>
          <w:sz w:val="22"/>
          <w:szCs w:val="22"/>
          <w:lang w:eastAsia="pt-BR"/>
        </w:rPr>
        <w:tab/>
      </w:r>
    </w:p>
    <w:p w:rsidR="00F77F8E" w:rsidRDefault="00F77F8E" w:rsidP="00F77F8E">
      <w:pPr>
        <w:autoSpaceDE w:val="0"/>
        <w:autoSpaceDN w:val="0"/>
        <w:adjustRightInd w:val="0"/>
        <w:rPr>
          <w:rFonts w:ascii="Times New Roman" w:eastAsia="Calibri" w:hAnsi="Times New Roman"/>
          <w:b/>
          <w:sz w:val="22"/>
          <w:szCs w:val="22"/>
          <w:lang w:eastAsia="pt-BR"/>
        </w:rPr>
      </w:pPr>
    </w:p>
    <w:p w:rsidR="00F77F8E" w:rsidRPr="00044DD9" w:rsidRDefault="00F77F8E" w:rsidP="00F77F8E">
      <w:pPr>
        <w:autoSpaceDE w:val="0"/>
        <w:autoSpaceDN w:val="0"/>
        <w:adjustRightInd w:val="0"/>
        <w:rPr>
          <w:rFonts w:ascii="Times New Roman" w:eastAsia="Calibri" w:hAnsi="Times New Roman"/>
          <w:b/>
          <w:sz w:val="22"/>
          <w:szCs w:val="22"/>
          <w:lang w:eastAsia="pt-BR"/>
        </w:rPr>
      </w:pPr>
      <w:r>
        <w:rPr>
          <w:rFonts w:ascii="Times New Roman" w:eastAsia="Calibri" w:hAnsi="Times New Roman"/>
          <w:b/>
          <w:sz w:val="22"/>
          <w:szCs w:val="22"/>
          <w:lang w:eastAsia="pt-BR"/>
        </w:rPr>
        <w:t>PRISCILA TERRA QUESADA</w:t>
      </w:r>
      <w:r>
        <w:rPr>
          <w:rFonts w:ascii="Times New Roman" w:eastAsia="Calibri" w:hAnsi="Times New Roman"/>
          <w:b/>
          <w:sz w:val="22"/>
          <w:szCs w:val="22"/>
          <w:lang w:eastAsia="pt-BR"/>
        </w:rPr>
        <w:tab/>
      </w:r>
      <w:r w:rsidRPr="00044DD9">
        <w:rPr>
          <w:rFonts w:ascii="Times New Roman" w:eastAsia="Calibri" w:hAnsi="Times New Roman"/>
          <w:b/>
          <w:sz w:val="22"/>
          <w:szCs w:val="22"/>
          <w:lang w:eastAsia="pt-BR"/>
        </w:rPr>
        <w:tab/>
        <w:t>____________________________________</w:t>
      </w:r>
    </w:p>
    <w:p w:rsidR="00F77F8E" w:rsidRPr="00044DD9" w:rsidRDefault="00F77F8E" w:rsidP="00F77F8E">
      <w:pPr>
        <w:tabs>
          <w:tab w:val="left" w:pos="4651"/>
        </w:tabs>
        <w:autoSpaceDE w:val="0"/>
        <w:autoSpaceDN w:val="0"/>
        <w:adjustRightInd w:val="0"/>
        <w:rPr>
          <w:rFonts w:ascii="Times New Roman" w:eastAsia="Calibri" w:hAnsi="Times New Roman"/>
          <w:sz w:val="22"/>
          <w:szCs w:val="22"/>
          <w:lang w:eastAsia="pt-BR"/>
        </w:rPr>
      </w:pPr>
      <w:r w:rsidRPr="00044DD9">
        <w:rPr>
          <w:rFonts w:ascii="Times New Roman" w:eastAsia="Calibri" w:hAnsi="Times New Roman"/>
          <w:sz w:val="22"/>
          <w:szCs w:val="22"/>
          <w:lang w:eastAsia="pt-BR"/>
        </w:rPr>
        <w:t>Coordenador</w:t>
      </w:r>
      <w:r>
        <w:rPr>
          <w:rFonts w:ascii="Times New Roman" w:eastAsia="Calibri" w:hAnsi="Times New Roman"/>
          <w:sz w:val="22"/>
          <w:szCs w:val="22"/>
          <w:lang w:eastAsia="pt-BR"/>
        </w:rPr>
        <w:t>a Adjunta</w:t>
      </w:r>
      <w:r w:rsidRPr="00044DD9">
        <w:rPr>
          <w:rFonts w:ascii="Times New Roman" w:hAnsi="Times New Roman"/>
          <w:caps/>
          <w:spacing w:val="4"/>
          <w:sz w:val="22"/>
          <w:szCs w:val="22"/>
          <w:lang w:eastAsia="pt-BR"/>
        </w:rPr>
        <w:tab/>
      </w:r>
    </w:p>
    <w:p w:rsidR="00E91C75" w:rsidRPr="008A2A27" w:rsidRDefault="00E91C75" w:rsidP="00E91C75">
      <w:pPr>
        <w:tabs>
          <w:tab w:val="left" w:pos="4651"/>
        </w:tabs>
        <w:autoSpaceDE w:val="0"/>
        <w:autoSpaceDN w:val="0"/>
        <w:adjustRightInd w:val="0"/>
        <w:rPr>
          <w:rFonts w:ascii="Times New Roman" w:hAnsi="Times New Roman"/>
          <w:caps/>
          <w:spacing w:val="4"/>
          <w:sz w:val="18"/>
          <w:szCs w:val="22"/>
          <w:lang w:eastAsia="pt-BR"/>
        </w:rPr>
      </w:pPr>
    </w:p>
    <w:p w:rsidR="00E91C75" w:rsidRPr="00044DD9" w:rsidRDefault="00FA7A35" w:rsidP="00E91C75">
      <w:pPr>
        <w:autoSpaceDE w:val="0"/>
        <w:autoSpaceDN w:val="0"/>
        <w:adjustRightInd w:val="0"/>
        <w:rPr>
          <w:rFonts w:ascii="Times New Roman" w:eastAsia="Calibri" w:hAnsi="Times New Roman"/>
          <w:b/>
          <w:sz w:val="22"/>
          <w:szCs w:val="22"/>
          <w:lang w:eastAsia="pt-BR"/>
        </w:rPr>
      </w:pPr>
      <w:r>
        <w:rPr>
          <w:rFonts w:ascii="Times New Roman" w:hAnsi="Times New Roman"/>
          <w:b/>
          <w:caps/>
          <w:spacing w:val="4"/>
          <w:sz w:val="22"/>
          <w:szCs w:val="22"/>
        </w:rPr>
        <w:t>ALVINO JARA</w:t>
      </w:r>
      <w:r w:rsidR="00E91C75" w:rsidRPr="00044DD9">
        <w:rPr>
          <w:rFonts w:ascii="Times New Roman" w:eastAsia="Calibri" w:hAnsi="Times New Roman"/>
          <w:b/>
          <w:sz w:val="22"/>
          <w:szCs w:val="22"/>
          <w:lang w:eastAsia="pt-BR"/>
        </w:rPr>
        <w:t xml:space="preserve"> </w:t>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r>
      <w:r w:rsidR="00E91C75" w:rsidRPr="00044DD9">
        <w:rPr>
          <w:rFonts w:ascii="Times New Roman" w:eastAsia="Calibri" w:hAnsi="Times New Roman"/>
          <w:b/>
          <w:sz w:val="22"/>
          <w:szCs w:val="22"/>
          <w:lang w:eastAsia="pt-BR"/>
        </w:rPr>
        <w:tab/>
        <w:t>____________________________________</w:t>
      </w:r>
    </w:p>
    <w:p w:rsidR="00D213CD" w:rsidRDefault="00E91C75" w:rsidP="00E91C75">
      <w:pPr>
        <w:tabs>
          <w:tab w:val="left" w:pos="4651"/>
        </w:tabs>
        <w:rPr>
          <w:rFonts w:ascii="Times New Roman" w:eastAsia="Calibri" w:hAnsi="Times New Roman"/>
          <w:spacing w:val="-6"/>
          <w:sz w:val="22"/>
          <w:szCs w:val="22"/>
          <w:lang w:eastAsia="pt-BR"/>
        </w:rPr>
      </w:pPr>
      <w:r w:rsidRPr="00044DD9">
        <w:rPr>
          <w:rFonts w:ascii="Times New Roman" w:hAnsi="Times New Roman"/>
          <w:sz w:val="22"/>
          <w:szCs w:val="22"/>
          <w:lang w:eastAsia="pt-BR"/>
        </w:rPr>
        <w:t>Membro</w:t>
      </w:r>
      <w:r w:rsidRPr="00044DD9">
        <w:rPr>
          <w:rFonts w:ascii="Times New Roman" w:eastAsia="Calibri" w:hAnsi="Times New Roman"/>
          <w:spacing w:val="-6"/>
          <w:sz w:val="22"/>
          <w:szCs w:val="22"/>
          <w:lang w:eastAsia="pt-BR"/>
        </w:rPr>
        <w:tab/>
      </w:r>
    </w:p>
    <w:p w:rsidR="00343474" w:rsidRPr="008A2A27" w:rsidRDefault="00343474" w:rsidP="00343474">
      <w:pPr>
        <w:autoSpaceDE w:val="0"/>
        <w:autoSpaceDN w:val="0"/>
        <w:adjustRightInd w:val="0"/>
        <w:rPr>
          <w:rFonts w:ascii="Times New Roman" w:hAnsi="Times New Roman"/>
          <w:b/>
          <w:caps/>
          <w:spacing w:val="4"/>
          <w:sz w:val="18"/>
          <w:szCs w:val="22"/>
        </w:rPr>
      </w:pPr>
    </w:p>
    <w:sectPr w:rsidR="00343474" w:rsidRPr="008A2A27"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77F8E">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F77F8E">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2599"/>
    <w:rsid w:val="00065201"/>
    <w:rsid w:val="00067264"/>
    <w:rsid w:val="00094D18"/>
    <w:rsid w:val="000C1A24"/>
    <w:rsid w:val="000C3500"/>
    <w:rsid w:val="000D3E3E"/>
    <w:rsid w:val="000D5BC9"/>
    <w:rsid w:val="000E0909"/>
    <w:rsid w:val="000E2009"/>
    <w:rsid w:val="000F339D"/>
    <w:rsid w:val="0010374D"/>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80F33"/>
    <w:rsid w:val="00285A83"/>
    <w:rsid w:val="00295FD5"/>
    <w:rsid w:val="002974CF"/>
    <w:rsid w:val="002A7C5E"/>
    <w:rsid w:val="002D4361"/>
    <w:rsid w:val="002E293E"/>
    <w:rsid w:val="002F2AD1"/>
    <w:rsid w:val="00305DCB"/>
    <w:rsid w:val="00306127"/>
    <w:rsid w:val="00311134"/>
    <w:rsid w:val="00320980"/>
    <w:rsid w:val="003411BA"/>
    <w:rsid w:val="00343474"/>
    <w:rsid w:val="00347324"/>
    <w:rsid w:val="003557D1"/>
    <w:rsid w:val="00360A08"/>
    <w:rsid w:val="00367DAC"/>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B4B10"/>
    <w:rsid w:val="005D2FBE"/>
    <w:rsid w:val="005D3D88"/>
    <w:rsid w:val="005E2D9F"/>
    <w:rsid w:val="005F0D92"/>
    <w:rsid w:val="005F47CB"/>
    <w:rsid w:val="00601FB6"/>
    <w:rsid w:val="0060634C"/>
    <w:rsid w:val="006130EF"/>
    <w:rsid w:val="00614679"/>
    <w:rsid w:val="006326C4"/>
    <w:rsid w:val="00633BEB"/>
    <w:rsid w:val="006340C8"/>
    <w:rsid w:val="00637577"/>
    <w:rsid w:val="00661135"/>
    <w:rsid w:val="00662475"/>
    <w:rsid w:val="0066674D"/>
    <w:rsid w:val="0068046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C4F1E"/>
    <w:rsid w:val="008D4752"/>
    <w:rsid w:val="008E1728"/>
    <w:rsid w:val="008F159C"/>
    <w:rsid w:val="009269BD"/>
    <w:rsid w:val="00930D3C"/>
    <w:rsid w:val="0093154B"/>
    <w:rsid w:val="009347B2"/>
    <w:rsid w:val="0094772A"/>
    <w:rsid w:val="009643CB"/>
    <w:rsid w:val="00974359"/>
    <w:rsid w:val="009B5DB8"/>
    <w:rsid w:val="009C581F"/>
    <w:rsid w:val="009D0886"/>
    <w:rsid w:val="009E3C4D"/>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309B7"/>
    <w:rsid w:val="00B3272B"/>
    <w:rsid w:val="00B37B9F"/>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6DD1"/>
    <w:rsid w:val="00F00BA3"/>
    <w:rsid w:val="00F106E3"/>
    <w:rsid w:val="00F11D97"/>
    <w:rsid w:val="00F2295D"/>
    <w:rsid w:val="00F271D7"/>
    <w:rsid w:val="00F34C54"/>
    <w:rsid w:val="00F55E0C"/>
    <w:rsid w:val="00F62212"/>
    <w:rsid w:val="00F77F8E"/>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7FA99948-ADA3-4C30-9E73-67D753B4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6350-EC10-4BC1-B013-320DDF7F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8378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Claudivana Bittencourt</cp:lastModifiedBy>
  <cp:revision>3</cp:revision>
  <cp:lastPrinted>2019-02-19T17:52:00Z</cp:lastPrinted>
  <dcterms:created xsi:type="dcterms:W3CDTF">2019-02-18T13:51:00Z</dcterms:created>
  <dcterms:modified xsi:type="dcterms:W3CDTF">2019-02-19T17:52:00Z</dcterms:modified>
</cp:coreProperties>
</file>