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646956">
        <w:rPr>
          <w:rFonts w:ascii="Calibri" w:hAnsi="Calibri" w:cs="Arial"/>
          <w:b/>
        </w:rPr>
        <w:t>8</w:t>
      </w:r>
      <w:r w:rsidR="008C4F09">
        <w:rPr>
          <w:rFonts w:ascii="Calibri" w:hAnsi="Calibri" w:cs="Arial"/>
          <w:b/>
        </w:rPr>
        <w:t>1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324E3">
        <w:t>0</w:t>
      </w:r>
      <w:r w:rsidR="008C4F09">
        <w:t>45</w:t>
      </w:r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F237E0">
        <w:rPr>
          <w:rFonts w:ascii="Calibri" w:hAnsi="Calibri"/>
        </w:rPr>
        <w:t xml:space="preserve">ao </w:t>
      </w:r>
      <w:r w:rsidR="00F237E0" w:rsidRPr="004E70FF">
        <w:rPr>
          <w:rFonts w:ascii="Calibri" w:hAnsi="Calibri"/>
        </w:rPr>
        <w:t>Arquitet</w:t>
      </w:r>
      <w:r w:rsidR="00F237E0">
        <w:rPr>
          <w:rFonts w:ascii="Calibri" w:hAnsi="Calibri"/>
        </w:rPr>
        <w:t>o</w:t>
      </w:r>
      <w:r w:rsidR="00F237E0" w:rsidRPr="004E70FF">
        <w:rPr>
          <w:rFonts w:ascii="Calibri" w:hAnsi="Calibri"/>
        </w:rPr>
        <w:t xml:space="preserve"> e Urbanista </w:t>
      </w:r>
      <w:r w:rsidR="008C4F09">
        <w:rPr>
          <w:rFonts w:ascii="Calibri" w:hAnsi="Calibri"/>
        </w:rPr>
        <w:t>Pedro Ataliba Kuhn Neto</w:t>
      </w:r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8C4F09">
        <w:rPr>
          <w:rFonts w:ascii="Calibri" w:hAnsi="Calibri"/>
        </w:rPr>
        <w:t>1874521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</w:t>
      </w:r>
      <w:r w:rsidR="005626B3">
        <w:rPr>
          <w:rFonts w:ascii="Calibri" w:hAnsi="Calibri"/>
        </w:rPr>
        <w:t xml:space="preserve"> </w:t>
      </w:r>
      <w:r w:rsidR="008C4F09">
        <w:rPr>
          <w:rFonts w:ascii="Calibri" w:hAnsi="Calibri"/>
        </w:rPr>
        <w:t>06/01/2014</w:t>
      </w:r>
      <w:r w:rsidR="008C4F09" w:rsidRPr="004E70FF">
        <w:rPr>
          <w:rFonts w:ascii="Calibri" w:hAnsi="Calibri"/>
        </w:rPr>
        <w:t xml:space="preserve"> </w:t>
      </w:r>
      <w:r w:rsidR="00B46327" w:rsidRPr="004E70FF">
        <w:rPr>
          <w:rFonts w:ascii="Calibri" w:hAnsi="Calibri"/>
        </w:rPr>
        <w:t xml:space="preserve">sob nº </w:t>
      </w:r>
      <w:r w:rsidR="008C4F09">
        <w:rPr>
          <w:rFonts w:ascii="Calibri" w:hAnsi="Calibri"/>
        </w:rPr>
        <w:t>1950</w:t>
      </w:r>
      <w:bookmarkStart w:id="0" w:name="_GoBack"/>
      <w:bookmarkEnd w:id="0"/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C4F0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C4F0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C4F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C4F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248AE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626B3"/>
    <w:rsid w:val="005E1AE4"/>
    <w:rsid w:val="0064190D"/>
    <w:rsid w:val="00646956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7E5145"/>
    <w:rsid w:val="0080112F"/>
    <w:rsid w:val="00810320"/>
    <w:rsid w:val="008324E3"/>
    <w:rsid w:val="00852BC8"/>
    <w:rsid w:val="00854B21"/>
    <w:rsid w:val="0088251F"/>
    <w:rsid w:val="008A27BE"/>
    <w:rsid w:val="008C4836"/>
    <w:rsid w:val="008C4F09"/>
    <w:rsid w:val="008C5654"/>
    <w:rsid w:val="008D42CD"/>
    <w:rsid w:val="0090465D"/>
    <w:rsid w:val="00931010"/>
    <w:rsid w:val="00937FE9"/>
    <w:rsid w:val="0096316C"/>
    <w:rsid w:val="009A22F8"/>
    <w:rsid w:val="009B60A3"/>
    <w:rsid w:val="009D0AD7"/>
    <w:rsid w:val="00A5519B"/>
    <w:rsid w:val="00A72C7E"/>
    <w:rsid w:val="00A9409A"/>
    <w:rsid w:val="00AA790F"/>
    <w:rsid w:val="00B27241"/>
    <w:rsid w:val="00B3675E"/>
    <w:rsid w:val="00B46327"/>
    <w:rsid w:val="00BB5C0A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237E0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2014-02-14T11:57:00Z</dcterms:created>
  <dcterms:modified xsi:type="dcterms:W3CDTF">2014-02-14T11:57:00Z</dcterms:modified>
</cp:coreProperties>
</file>