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07"/>
      </w:tblGrid>
      <w:tr w:rsidR="00BD1F54" w:rsidRPr="00E95A2C" w:rsidTr="00E87280">
        <w:trPr>
          <w:trHeight w:hRule="exact" w:val="45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E95A2C" w:rsidRDefault="00B204AE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83A48" w:rsidRPr="00E95A2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E95A2C" w:rsidRDefault="0023672B" w:rsidP="00DE63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696</w:t>
            </w:r>
            <w:r w:rsidR="00C50D27" w:rsidRPr="00E95A2C">
              <w:rPr>
                <w:rFonts w:ascii="Times New Roman" w:hAnsi="Times New Roman"/>
                <w:sz w:val="22"/>
                <w:szCs w:val="22"/>
              </w:rPr>
              <w:t>/201</w:t>
            </w:r>
            <w:r w:rsidR="002F3569" w:rsidRPr="00E95A2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52285A" w:rsidRPr="00E95A2C" w:rsidTr="00E87280">
        <w:trPr>
          <w:trHeight w:hRule="exact" w:val="435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2285A" w:rsidRPr="00E95A2C" w:rsidRDefault="0052285A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2285A" w:rsidRPr="00E95A2C" w:rsidRDefault="00DE630F" w:rsidP="009D63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383/2016</w:t>
            </w:r>
          </w:p>
        </w:tc>
      </w:tr>
      <w:tr w:rsidR="00AE0258" w:rsidRPr="00E95A2C" w:rsidTr="0023672B">
        <w:trPr>
          <w:trHeight w:hRule="exact" w:val="34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E95A2C" w:rsidRDefault="0052285A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E95A2C" w:rsidRDefault="0023672B" w:rsidP="00C50D2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HORACIO PEDRO MEDINA</w:t>
            </w:r>
          </w:p>
        </w:tc>
      </w:tr>
      <w:tr w:rsidR="00DE630F" w:rsidRPr="00E95A2C" w:rsidTr="0023672B">
        <w:trPr>
          <w:trHeight w:hRule="exact" w:val="34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E630F" w:rsidRPr="00E95A2C" w:rsidRDefault="00DE630F" w:rsidP="00DE63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E630F" w:rsidRPr="00E95A2C" w:rsidRDefault="00DE630F" w:rsidP="00DE63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E630F" w:rsidRPr="00E95A2C" w:rsidTr="0023672B">
        <w:trPr>
          <w:trHeight w:hRule="exact" w:val="42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E630F" w:rsidRPr="00E95A2C" w:rsidRDefault="00DE630F" w:rsidP="00DE63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90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E630F" w:rsidRPr="00E95A2C" w:rsidRDefault="00DE630F" w:rsidP="00DE63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CONSELHEIRO FAUSTO HENRIQUE STEFFEN.</w:t>
            </w:r>
          </w:p>
        </w:tc>
      </w:tr>
    </w:tbl>
    <w:p w:rsidR="00183A48" w:rsidRPr="00E95A2C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B23D2B" w:rsidRPr="00E95A2C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E95A2C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3F0B6D" w:rsidRPr="00E95A2C" w:rsidRDefault="003F0B6D" w:rsidP="003F0B6D">
      <w:pPr>
        <w:spacing w:line="360" w:lineRule="auto"/>
        <w:jc w:val="both"/>
        <w:rPr>
          <w:rFonts w:ascii="Times New Roman" w:eastAsia="Calibri" w:hAnsi="Times New Roman"/>
          <w:sz w:val="22"/>
          <w:szCs w:val="22"/>
        </w:rPr>
      </w:pPr>
    </w:p>
    <w:p w:rsidR="007335BA" w:rsidRPr="00E95A2C" w:rsidRDefault="007335BA" w:rsidP="00E95A2C">
      <w:pPr>
        <w:pStyle w:val="PargrafodaLista"/>
        <w:numPr>
          <w:ilvl w:val="0"/>
          <w:numId w:val="24"/>
        </w:numPr>
        <w:tabs>
          <w:tab w:val="left" w:pos="1276"/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E</w:t>
      </w:r>
      <w:r w:rsidR="00F04346" w:rsidRPr="00E95A2C">
        <w:rPr>
          <w:rFonts w:ascii="Times New Roman" w:eastAsia="Calibri" w:hAnsi="Times New Roman"/>
          <w:sz w:val="22"/>
          <w:szCs w:val="22"/>
        </w:rPr>
        <w:t>m</w:t>
      </w:r>
      <w:r w:rsidR="009C26A9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="00B8096F" w:rsidRPr="00E95A2C">
        <w:rPr>
          <w:rFonts w:ascii="Times New Roman" w:eastAsia="Calibri" w:hAnsi="Times New Roman"/>
          <w:sz w:val="22"/>
          <w:szCs w:val="22"/>
        </w:rPr>
        <w:t>20</w:t>
      </w:r>
      <w:r w:rsidR="002F3569" w:rsidRPr="00E95A2C">
        <w:rPr>
          <w:rFonts w:ascii="Times New Roman" w:eastAsia="Calibri" w:hAnsi="Times New Roman"/>
          <w:sz w:val="22"/>
          <w:szCs w:val="22"/>
        </w:rPr>
        <w:t xml:space="preserve"> de </w:t>
      </w:r>
      <w:r w:rsidR="00B8096F" w:rsidRPr="00E95A2C">
        <w:rPr>
          <w:rFonts w:ascii="Times New Roman" w:eastAsia="Calibri" w:hAnsi="Times New Roman"/>
          <w:sz w:val="22"/>
          <w:szCs w:val="22"/>
        </w:rPr>
        <w:t>outubro</w:t>
      </w:r>
      <w:r w:rsidR="002F3569" w:rsidRPr="00E95A2C">
        <w:rPr>
          <w:rFonts w:ascii="Times New Roman" w:eastAsia="Calibri" w:hAnsi="Times New Roman"/>
          <w:sz w:val="22"/>
          <w:szCs w:val="22"/>
        </w:rPr>
        <w:t xml:space="preserve"> de 2016</w:t>
      </w:r>
      <w:r w:rsidR="00F04346" w:rsidRPr="00E95A2C">
        <w:rPr>
          <w:rFonts w:ascii="Times New Roman" w:eastAsia="Calibri" w:hAnsi="Times New Roman"/>
          <w:sz w:val="22"/>
          <w:szCs w:val="22"/>
        </w:rPr>
        <w:t xml:space="preserve">, </w:t>
      </w:r>
      <w:r w:rsidRPr="00E95A2C">
        <w:rPr>
          <w:rFonts w:ascii="Times New Roman" w:eastAsia="Calibri" w:hAnsi="Times New Roman"/>
          <w:sz w:val="22"/>
          <w:szCs w:val="22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2"/>
            <w:szCs w:val="22"/>
          </w:rPr>
          <w:alias w:val="Resumo"/>
          <w:tag w:val=""/>
          <w:id w:val="463779644"/>
          <w:placeholder>
            <w:docPart w:val="21E26C0FB85643978DD35751401B9A8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8096F" w:rsidRPr="00E95A2C">
            <w:rPr>
              <w:rFonts w:ascii="Times New Roman" w:eastAsia="Calibri" w:hAnsi="Times New Roman"/>
              <w:sz w:val="22"/>
              <w:szCs w:val="22"/>
            </w:rPr>
            <w:t>383</w:t>
          </w:r>
          <w:r w:rsidR="00917BB6" w:rsidRPr="00E95A2C">
            <w:rPr>
              <w:rFonts w:ascii="Times New Roman" w:eastAsia="Calibri" w:hAnsi="Times New Roman"/>
              <w:sz w:val="22"/>
              <w:szCs w:val="22"/>
            </w:rPr>
            <w:t>/201</w:t>
          </w:r>
          <w:r w:rsidR="002F3569" w:rsidRPr="00E95A2C">
            <w:rPr>
              <w:rFonts w:ascii="Times New Roman" w:eastAsia="Calibri" w:hAnsi="Times New Roman"/>
              <w:sz w:val="22"/>
              <w:szCs w:val="22"/>
            </w:rPr>
            <w:t>6</w:t>
          </w:r>
        </w:sdtContent>
      </w:sdt>
      <w:r w:rsidR="002F3569" w:rsidRPr="00E95A2C">
        <w:rPr>
          <w:rFonts w:ascii="Times New Roman" w:eastAsia="Calibri" w:hAnsi="Times New Roman"/>
          <w:sz w:val="22"/>
          <w:szCs w:val="22"/>
        </w:rPr>
        <w:t xml:space="preserve"> ao </w:t>
      </w:r>
      <w:r w:rsidR="004637E4" w:rsidRPr="00E95A2C">
        <w:rPr>
          <w:rFonts w:ascii="Times New Roman" w:eastAsia="Calibri" w:hAnsi="Times New Roman"/>
          <w:sz w:val="22"/>
          <w:szCs w:val="22"/>
        </w:rPr>
        <w:t xml:space="preserve">contribuinte, </w:t>
      </w:r>
      <w:r w:rsidR="002F3569" w:rsidRPr="00E95A2C">
        <w:rPr>
          <w:rFonts w:ascii="Times New Roman" w:eastAsia="Calibri" w:hAnsi="Times New Roman"/>
          <w:sz w:val="22"/>
          <w:szCs w:val="22"/>
        </w:rPr>
        <w:t>Arquiteto e Urbanista</w:t>
      </w:r>
      <w:r w:rsidR="004637E4" w:rsidRPr="00E95A2C">
        <w:rPr>
          <w:rFonts w:ascii="Times New Roman" w:eastAsia="Calibri" w:hAnsi="Times New Roman"/>
          <w:sz w:val="22"/>
          <w:szCs w:val="22"/>
        </w:rPr>
        <w:t>,</w:t>
      </w:r>
      <w:r w:rsidR="002F3569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="004637E4" w:rsidRPr="00E95A2C">
        <w:rPr>
          <w:rFonts w:ascii="Times New Roman" w:eastAsia="Calibri" w:hAnsi="Times New Roman"/>
          <w:sz w:val="22"/>
          <w:szCs w:val="22"/>
        </w:rPr>
        <w:t xml:space="preserve">Sr. </w:t>
      </w:r>
      <w:r w:rsidR="00B8096F" w:rsidRPr="00E95A2C">
        <w:rPr>
          <w:rFonts w:ascii="Times New Roman" w:eastAsia="Calibri" w:hAnsi="Times New Roman"/>
          <w:sz w:val="22"/>
          <w:szCs w:val="22"/>
        </w:rPr>
        <w:t>HORACIO PEDRO MEDINA</w:t>
      </w:r>
      <w:r w:rsidRPr="00E95A2C">
        <w:rPr>
          <w:rFonts w:ascii="Times New Roman" w:eastAsia="Calibri" w:hAnsi="Times New Roman"/>
          <w:sz w:val="22"/>
          <w:szCs w:val="22"/>
        </w:rPr>
        <w:t xml:space="preserve">, concedendo-lhe o prazo de 30 (trinta) dias para saldar ou parcelar o débito referente às anuidades de </w:t>
      </w:r>
      <w:r w:rsidR="001E2E6C" w:rsidRPr="00E95A2C">
        <w:rPr>
          <w:rFonts w:ascii="Times New Roman" w:eastAsia="Calibri" w:hAnsi="Times New Roman"/>
          <w:sz w:val="22"/>
          <w:szCs w:val="22"/>
        </w:rPr>
        <w:t>2012, 2013</w:t>
      </w:r>
      <w:r w:rsidR="00B8096F" w:rsidRPr="00E95A2C">
        <w:rPr>
          <w:rFonts w:ascii="Times New Roman" w:eastAsia="Calibri" w:hAnsi="Times New Roman"/>
          <w:sz w:val="22"/>
          <w:szCs w:val="22"/>
        </w:rPr>
        <w:t xml:space="preserve"> e</w:t>
      </w:r>
      <w:r w:rsidR="001E2E6C" w:rsidRPr="00E95A2C">
        <w:rPr>
          <w:rFonts w:ascii="Times New Roman" w:eastAsia="Calibri" w:hAnsi="Times New Roman"/>
          <w:sz w:val="22"/>
          <w:szCs w:val="22"/>
        </w:rPr>
        <w:t xml:space="preserve"> 2014</w:t>
      </w:r>
      <w:r w:rsidR="00B8096F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Pr="00E95A2C">
        <w:rPr>
          <w:rFonts w:ascii="Times New Roman" w:eastAsia="Calibri" w:hAnsi="Times New Roman"/>
          <w:sz w:val="22"/>
          <w:szCs w:val="22"/>
        </w:rPr>
        <w:t>em atraso ou para oferecer impugnação escrita a esta Comissão.</w:t>
      </w:r>
    </w:p>
    <w:p w:rsidR="0082354B" w:rsidRPr="00E95A2C" w:rsidRDefault="001E2E6C" w:rsidP="00E95A2C">
      <w:pPr>
        <w:tabs>
          <w:tab w:val="left" w:pos="1276"/>
          <w:tab w:val="left" w:pos="1418"/>
        </w:tabs>
        <w:spacing w:before="120" w:after="120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 xml:space="preserve">Após a notificação, </w:t>
      </w:r>
      <w:r w:rsidR="0082354B" w:rsidRPr="00E95A2C">
        <w:rPr>
          <w:rFonts w:ascii="Times New Roman" w:eastAsia="Calibri" w:hAnsi="Times New Roman"/>
          <w:sz w:val="22"/>
          <w:szCs w:val="22"/>
        </w:rPr>
        <w:t>o c</w:t>
      </w:r>
      <w:r w:rsidR="002F3569" w:rsidRPr="00E95A2C">
        <w:rPr>
          <w:rFonts w:ascii="Times New Roman" w:eastAsia="Calibri" w:hAnsi="Times New Roman"/>
          <w:sz w:val="22"/>
          <w:szCs w:val="22"/>
        </w:rPr>
        <w:t xml:space="preserve">ontribuinte </w:t>
      </w:r>
      <w:r w:rsidRPr="00E95A2C">
        <w:rPr>
          <w:rFonts w:ascii="Times New Roman" w:eastAsia="Calibri" w:hAnsi="Times New Roman"/>
          <w:sz w:val="22"/>
          <w:szCs w:val="22"/>
        </w:rPr>
        <w:t>apr</w:t>
      </w:r>
      <w:r w:rsidR="004637E4" w:rsidRPr="00E95A2C">
        <w:rPr>
          <w:rFonts w:ascii="Times New Roman" w:eastAsia="Calibri" w:hAnsi="Times New Roman"/>
          <w:sz w:val="22"/>
          <w:szCs w:val="22"/>
        </w:rPr>
        <w:t>esentou</w:t>
      </w:r>
      <w:r w:rsidR="004F59DE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="00576989" w:rsidRPr="00E95A2C">
        <w:rPr>
          <w:rFonts w:ascii="Times New Roman" w:eastAsia="Calibri" w:hAnsi="Times New Roman"/>
          <w:sz w:val="22"/>
          <w:szCs w:val="22"/>
        </w:rPr>
        <w:t>i</w:t>
      </w:r>
      <w:r w:rsidR="004F59DE" w:rsidRPr="00E95A2C">
        <w:rPr>
          <w:rFonts w:ascii="Times New Roman" w:eastAsia="Calibri" w:hAnsi="Times New Roman"/>
          <w:sz w:val="22"/>
          <w:szCs w:val="22"/>
        </w:rPr>
        <w:t xml:space="preserve">mpugnação </w:t>
      </w:r>
      <w:r w:rsidRPr="00E95A2C">
        <w:rPr>
          <w:rFonts w:ascii="Times New Roman" w:eastAsia="Calibri" w:hAnsi="Times New Roman"/>
          <w:sz w:val="22"/>
          <w:szCs w:val="22"/>
        </w:rPr>
        <w:t>(</w:t>
      </w:r>
      <w:r w:rsidR="00B8096F" w:rsidRPr="00E95A2C">
        <w:rPr>
          <w:rFonts w:ascii="Times New Roman" w:eastAsia="Calibri" w:hAnsi="Times New Roman"/>
          <w:sz w:val="22"/>
          <w:szCs w:val="22"/>
        </w:rPr>
        <w:t>fl. 11</w:t>
      </w:r>
      <w:r w:rsidRPr="00E95A2C">
        <w:rPr>
          <w:rFonts w:ascii="Times New Roman" w:eastAsia="Calibri" w:hAnsi="Times New Roman"/>
          <w:sz w:val="22"/>
          <w:szCs w:val="22"/>
        </w:rPr>
        <w:t>)</w:t>
      </w:r>
      <w:r w:rsidR="00E30CFB" w:rsidRPr="00E95A2C">
        <w:rPr>
          <w:rFonts w:ascii="Times New Roman" w:eastAsia="Calibri" w:hAnsi="Times New Roman"/>
          <w:sz w:val="22"/>
          <w:szCs w:val="22"/>
        </w:rPr>
        <w:t>, juntando documentos</w:t>
      </w:r>
      <w:r w:rsidR="00DA2B41" w:rsidRPr="00E95A2C">
        <w:rPr>
          <w:rFonts w:ascii="Times New Roman" w:eastAsia="Calibri" w:hAnsi="Times New Roman"/>
          <w:sz w:val="22"/>
          <w:szCs w:val="22"/>
        </w:rPr>
        <w:t xml:space="preserve"> (</w:t>
      </w:r>
      <w:r w:rsidR="003F0B6D" w:rsidRPr="00E95A2C">
        <w:rPr>
          <w:rFonts w:ascii="Times New Roman" w:eastAsia="Calibri" w:hAnsi="Times New Roman"/>
          <w:sz w:val="22"/>
          <w:szCs w:val="22"/>
        </w:rPr>
        <w:t>fls</w:t>
      </w:r>
      <w:r w:rsidR="00DA2B41" w:rsidRPr="00E95A2C">
        <w:rPr>
          <w:rFonts w:ascii="Times New Roman" w:eastAsia="Calibri" w:hAnsi="Times New Roman"/>
          <w:sz w:val="22"/>
          <w:szCs w:val="22"/>
        </w:rPr>
        <w:t xml:space="preserve">. </w:t>
      </w:r>
      <w:r w:rsidR="00B8096F" w:rsidRPr="00E95A2C">
        <w:rPr>
          <w:rFonts w:ascii="Times New Roman" w:eastAsia="Calibri" w:hAnsi="Times New Roman"/>
          <w:sz w:val="22"/>
          <w:szCs w:val="22"/>
        </w:rPr>
        <w:t>12-15</w:t>
      </w:r>
      <w:r w:rsidR="00E30CFB" w:rsidRPr="00E95A2C">
        <w:rPr>
          <w:rFonts w:ascii="Times New Roman" w:eastAsia="Calibri" w:hAnsi="Times New Roman"/>
          <w:sz w:val="22"/>
          <w:szCs w:val="22"/>
        </w:rPr>
        <w:t>)</w:t>
      </w:r>
      <w:r w:rsidR="0082354B" w:rsidRPr="00E95A2C">
        <w:rPr>
          <w:rFonts w:ascii="Times New Roman" w:eastAsia="Calibri" w:hAnsi="Times New Roman"/>
          <w:sz w:val="22"/>
          <w:szCs w:val="22"/>
        </w:rPr>
        <w:t>. Solicitadas diligências (fl. 16), o contribuinte se manifestou (fls. 40-43) e apresentou novos documentos (fls. 17-39 e 44-</w:t>
      </w:r>
      <w:r w:rsidR="00817B06" w:rsidRPr="00E95A2C">
        <w:rPr>
          <w:rFonts w:ascii="Times New Roman" w:eastAsia="Calibri" w:hAnsi="Times New Roman"/>
          <w:sz w:val="22"/>
          <w:szCs w:val="22"/>
        </w:rPr>
        <w:t>78).</w:t>
      </w:r>
    </w:p>
    <w:p w:rsidR="00817B06" w:rsidRPr="00E95A2C" w:rsidRDefault="00817B06" w:rsidP="00E95A2C">
      <w:pPr>
        <w:pStyle w:val="PargrafodaLista"/>
        <w:numPr>
          <w:ilvl w:val="0"/>
          <w:numId w:val="24"/>
        </w:numPr>
        <w:tabs>
          <w:tab w:val="left" w:pos="1276"/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Em razão das provas juntadas, solicitou-se ao profissional a juntada de “</w:t>
      </w:r>
      <w:r w:rsidRPr="00E95A2C">
        <w:rPr>
          <w:rFonts w:ascii="Times New Roman" w:eastAsia="Calibri" w:hAnsi="Times New Roman"/>
          <w:i/>
          <w:sz w:val="22"/>
          <w:szCs w:val="22"/>
        </w:rPr>
        <w:t>documento hábil de acordo com a resolução nº 134/2017 do CAU/BR</w:t>
      </w:r>
      <w:r w:rsidRPr="00E95A2C">
        <w:rPr>
          <w:rFonts w:ascii="Times New Roman" w:eastAsia="Calibri" w:hAnsi="Times New Roman"/>
          <w:sz w:val="22"/>
          <w:szCs w:val="22"/>
        </w:rPr>
        <w:t>” ou a apresentação de “</w:t>
      </w:r>
      <w:r w:rsidRPr="00E95A2C">
        <w:rPr>
          <w:rFonts w:ascii="Times New Roman" w:eastAsia="Calibri" w:hAnsi="Times New Roman"/>
          <w:i/>
          <w:sz w:val="22"/>
          <w:szCs w:val="22"/>
        </w:rPr>
        <w:t>carta de concessão de benefício da previdência social, a qual demonstre o momento da concessão da aposentadoria por invalidez e a atualidade do benefício</w:t>
      </w:r>
      <w:r w:rsidRPr="00E95A2C">
        <w:rPr>
          <w:rFonts w:ascii="Times New Roman" w:eastAsia="Calibri" w:hAnsi="Times New Roman"/>
          <w:sz w:val="22"/>
          <w:szCs w:val="22"/>
        </w:rPr>
        <w:t>” (fls. 80-82).</w:t>
      </w:r>
    </w:p>
    <w:p w:rsidR="00C75E1D" w:rsidRPr="00E95A2C" w:rsidRDefault="00C75E1D" w:rsidP="00E95A2C">
      <w:pPr>
        <w:pStyle w:val="PargrafodaLista"/>
        <w:numPr>
          <w:ilvl w:val="0"/>
          <w:numId w:val="24"/>
        </w:numPr>
        <w:tabs>
          <w:tab w:val="left" w:pos="1276"/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Por fim, a Defensoria Pública da União, em representação aos interesses do contribuinte, solicitou o cancelamento do registro do profissional e das anuidades que lhe são cobradas (fls. 89-90). Juntou-se o extrato previdenciário do profissional, que comprova a aposentadoria por idade, desde 02/10/2006 (fl. 91).</w:t>
      </w:r>
    </w:p>
    <w:p w:rsidR="00553B02" w:rsidRPr="00E95A2C" w:rsidRDefault="00C75E1D" w:rsidP="00E95A2C">
      <w:pPr>
        <w:pStyle w:val="PargrafodaLista"/>
        <w:numPr>
          <w:ilvl w:val="0"/>
          <w:numId w:val="24"/>
        </w:numPr>
        <w:tabs>
          <w:tab w:val="left" w:pos="1276"/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Sobrevieram os autos para parecer.</w:t>
      </w:r>
      <w:r w:rsidR="00DE630F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="007335BA" w:rsidRPr="00E95A2C">
        <w:rPr>
          <w:rFonts w:ascii="Times New Roman" w:eastAsia="Calibri" w:hAnsi="Times New Roman"/>
          <w:sz w:val="22"/>
          <w:szCs w:val="22"/>
        </w:rPr>
        <w:t>É o</w:t>
      </w:r>
      <w:r w:rsidR="00553B02" w:rsidRPr="00E95A2C">
        <w:rPr>
          <w:rFonts w:ascii="Times New Roman" w:eastAsia="Calibri" w:hAnsi="Times New Roman"/>
          <w:sz w:val="22"/>
          <w:szCs w:val="22"/>
        </w:rPr>
        <w:t xml:space="preserve"> sucinto </w:t>
      </w:r>
      <w:r w:rsidR="007335BA" w:rsidRPr="00E95A2C">
        <w:rPr>
          <w:rFonts w:ascii="Times New Roman" w:eastAsia="Calibri" w:hAnsi="Times New Roman"/>
          <w:sz w:val="22"/>
          <w:szCs w:val="22"/>
        </w:rPr>
        <w:t>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8D5110" w:rsidRPr="00E95A2C" w:rsidTr="00553B02">
        <w:trPr>
          <w:trHeight w:hRule="exact" w:val="312"/>
          <w:jc w:val="center"/>
        </w:trPr>
        <w:tc>
          <w:tcPr>
            <w:tcW w:w="878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E95A2C" w:rsidRDefault="00AE0258" w:rsidP="00E95A2C">
            <w:pPr>
              <w:tabs>
                <w:tab w:val="left" w:pos="1418"/>
              </w:tabs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PARECER</w:t>
            </w:r>
          </w:p>
        </w:tc>
      </w:tr>
    </w:tbl>
    <w:p w:rsidR="008E431E" w:rsidRPr="00E95A2C" w:rsidRDefault="00177E6A" w:rsidP="00E95A2C">
      <w:pPr>
        <w:pStyle w:val="PargrafodaLista"/>
        <w:numPr>
          <w:ilvl w:val="0"/>
          <w:numId w:val="24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R</w:t>
      </w:r>
      <w:r w:rsidR="00C75E1D" w:rsidRPr="00E95A2C">
        <w:rPr>
          <w:rFonts w:ascii="Times New Roman" w:eastAsia="Calibri" w:hAnsi="Times New Roman"/>
          <w:sz w:val="22"/>
          <w:szCs w:val="22"/>
        </w:rPr>
        <w:t>eiteram-se os argumentos expostos anteriormente (fls. 80-82)</w:t>
      </w:r>
      <w:r w:rsidRPr="00E95A2C">
        <w:rPr>
          <w:rFonts w:ascii="Times New Roman" w:eastAsia="Calibri" w:hAnsi="Times New Roman"/>
          <w:sz w:val="22"/>
          <w:szCs w:val="22"/>
        </w:rPr>
        <w:t>.</w:t>
      </w:r>
      <w:r w:rsidR="00C75E1D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Pr="00E95A2C">
        <w:rPr>
          <w:rFonts w:ascii="Times New Roman" w:eastAsia="Calibri" w:hAnsi="Times New Roman"/>
          <w:sz w:val="22"/>
          <w:szCs w:val="22"/>
        </w:rPr>
        <w:t>D</w:t>
      </w:r>
      <w:r w:rsidR="00E20B9E" w:rsidRPr="00E95A2C">
        <w:rPr>
          <w:rFonts w:ascii="Times New Roman" w:hAnsi="Times New Roman"/>
          <w:sz w:val="22"/>
          <w:szCs w:val="22"/>
        </w:rPr>
        <w:t>a análise dos dados d</w:t>
      </w:r>
      <w:r w:rsidR="00E7292D" w:rsidRPr="00E95A2C">
        <w:rPr>
          <w:rFonts w:ascii="Times New Roman" w:hAnsi="Times New Roman"/>
          <w:sz w:val="22"/>
          <w:szCs w:val="22"/>
        </w:rPr>
        <w:t xml:space="preserve">o profissional </w:t>
      </w:r>
      <w:r w:rsidR="00E20B9E" w:rsidRPr="00E95A2C">
        <w:rPr>
          <w:rFonts w:ascii="Times New Roman" w:hAnsi="Times New Roman"/>
          <w:sz w:val="22"/>
          <w:szCs w:val="22"/>
        </w:rPr>
        <w:t xml:space="preserve">junto ao CREA/RS </w:t>
      </w:r>
      <w:r w:rsidRPr="00E95A2C">
        <w:rPr>
          <w:rFonts w:ascii="Times New Roman" w:hAnsi="Times New Roman"/>
          <w:sz w:val="22"/>
          <w:szCs w:val="22"/>
        </w:rPr>
        <w:t xml:space="preserve">(em anexo) </w:t>
      </w:r>
      <w:r w:rsidR="00E20B9E" w:rsidRPr="00E95A2C">
        <w:rPr>
          <w:rFonts w:ascii="Times New Roman" w:hAnsi="Times New Roman"/>
          <w:sz w:val="22"/>
          <w:szCs w:val="22"/>
        </w:rPr>
        <w:t xml:space="preserve">e ao CAU/RS, verifica-se que </w:t>
      </w:r>
      <w:r w:rsidR="00E7292D" w:rsidRPr="00E95A2C">
        <w:rPr>
          <w:rFonts w:ascii="Times New Roman" w:hAnsi="Times New Roman"/>
          <w:sz w:val="22"/>
          <w:szCs w:val="22"/>
        </w:rPr>
        <w:t>este</w:t>
      </w:r>
      <w:r w:rsidR="00E20B9E" w:rsidRPr="00E95A2C">
        <w:rPr>
          <w:rFonts w:ascii="Times New Roman" w:hAnsi="Times New Roman"/>
          <w:sz w:val="22"/>
          <w:szCs w:val="22"/>
        </w:rPr>
        <w:t xml:space="preserve"> se registrou naquele Conselho em </w:t>
      </w:r>
      <w:r w:rsidR="00B8096F" w:rsidRPr="00E95A2C">
        <w:rPr>
          <w:rFonts w:ascii="Times New Roman" w:hAnsi="Times New Roman"/>
          <w:sz w:val="22"/>
          <w:szCs w:val="22"/>
        </w:rPr>
        <w:t>22/10/1974</w:t>
      </w:r>
      <w:r w:rsidR="00E20B9E" w:rsidRPr="00E95A2C">
        <w:rPr>
          <w:rFonts w:ascii="Times New Roman" w:hAnsi="Times New Roman"/>
          <w:sz w:val="22"/>
          <w:szCs w:val="22"/>
        </w:rPr>
        <w:t xml:space="preserve">, sob o nº </w:t>
      </w:r>
      <w:r w:rsidR="00B8096F" w:rsidRPr="00E95A2C">
        <w:rPr>
          <w:rFonts w:ascii="Times New Roman" w:hAnsi="Times New Roman"/>
          <w:sz w:val="22"/>
          <w:szCs w:val="22"/>
        </w:rPr>
        <w:t>21.959</w:t>
      </w:r>
      <w:r w:rsidR="00B626C3" w:rsidRPr="00E95A2C">
        <w:rPr>
          <w:rFonts w:ascii="Times New Roman" w:hAnsi="Times New Roman"/>
          <w:sz w:val="22"/>
          <w:szCs w:val="22"/>
        </w:rPr>
        <w:t xml:space="preserve">, </w:t>
      </w:r>
      <w:r w:rsidR="00E7292D" w:rsidRPr="00E95A2C">
        <w:rPr>
          <w:rFonts w:ascii="Times New Roman" w:hAnsi="Times New Roman"/>
          <w:sz w:val="22"/>
          <w:szCs w:val="22"/>
        </w:rPr>
        <w:t>tendo o seu registro migrado ativo ao CAU em razão da Lei nº 12.378/2010.</w:t>
      </w:r>
    </w:p>
    <w:p w:rsidR="00E95A2C" w:rsidRPr="00E95A2C" w:rsidRDefault="00177E6A" w:rsidP="00E95A2C">
      <w:pPr>
        <w:pStyle w:val="PargrafodaLista"/>
        <w:numPr>
          <w:ilvl w:val="0"/>
          <w:numId w:val="24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  <w:sectPr w:rsidR="00E95A2C" w:rsidRPr="00E95A2C" w:rsidSect="00E95A2C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2836" w:right="1410" w:bottom="1418" w:left="1701" w:header="1327" w:footer="584" w:gutter="0"/>
          <w:cols w:space="142"/>
        </w:sectPr>
      </w:pPr>
      <w:r w:rsidRPr="00E95A2C">
        <w:rPr>
          <w:rFonts w:ascii="Times New Roman" w:hAnsi="Times New Roman"/>
          <w:sz w:val="22"/>
          <w:szCs w:val="22"/>
        </w:rPr>
        <w:t xml:space="preserve">No caso em questão, </w:t>
      </w:r>
      <w:r w:rsidR="00C44BE2" w:rsidRPr="00E95A2C">
        <w:rPr>
          <w:rFonts w:ascii="Times New Roman" w:hAnsi="Times New Roman"/>
          <w:sz w:val="22"/>
          <w:szCs w:val="22"/>
        </w:rPr>
        <w:t xml:space="preserve">inicialmente, </w:t>
      </w:r>
      <w:r w:rsidRPr="00E95A2C">
        <w:rPr>
          <w:rFonts w:ascii="Times New Roman" w:hAnsi="Times New Roman"/>
          <w:sz w:val="22"/>
          <w:szCs w:val="22"/>
        </w:rPr>
        <w:t xml:space="preserve">quanto ao valor das anuidades devidas pelo contribuinte, </w:t>
      </w:r>
      <w:r w:rsidR="00C44BE2" w:rsidRPr="00E95A2C">
        <w:rPr>
          <w:rFonts w:ascii="Times New Roman" w:hAnsi="Times New Roman"/>
          <w:sz w:val="22"/>
          <w:szCs w:val="22"/>
        </w:rPr>
        <w:t xml:space="preserve">essa Comissão não poderia deixar de </w:t>
      </w:r>
      <w:r w:rsidRPr="00E95A2C">
        <w:rPr>
          <w:rFonts w:ascii="Times New Roman" w:hAnsi="Times New Roman"/>
          <w:sz w:val="22"/>
          <w:szCs w:val="22"/>
        </w:rPr>
        <w:t>observa</w:t>
      </w:r>
      <w:r w:rsidR="00C44BE2" w:rsidRPr="00E95A2C">
        <w:rPr>
          <w:rFonts w:ascii="Times New Roman" w:hAnsi="Times New Roman"/>
          <w:sz w:val="22"/>
          <w:szCs w:val="22"/>
        </w:rPr>
        <w:t>r</w:t>
      </w:r>
      <w:r w:rsidRPr="00E95A2C">
        <w:rPr>
          <w:rFonts w:ascii="Times New Roman" w:hAnsi="Times New Roman"/>
          <w:sz w:val="22"/>
          <w:szCs w:val="22"/>
        </w:rPr>
        <w:t xml:space="preserve"> que o profissional completou 35 anos de contribuição no ano de 2009</w:t>
      </w:r>
      <w:r w:rsidR="00C44BE2" w:rsidRPr="00E95A2C">
        <w:rPr>
          <w:rFonts w:ascii="Times New Roman" w:hAnsi="Times New Roman"/>
          <w:sz w:val="22"/>
          <w:szCs w:val="22"/>
        </w:rPr>
        <w:t xml:space="preserve"> (anterior a </w:t>
      </w:r>
      <w:r w:rsidR="00C44BE2" w:rsidRPr="00E95A2C">
        <w:rPr>
          <w:rFonts w:ascii="Times New Roman" w:eastAsia="Calibri" w:hAnsi="Times New Roman"/>
          <w:sz w:val="22"/>
          <w:szCs w:val="22"/>
        </w:rPr>
        <w:t>Lei n° 12.378/2010)</w:t>
      </w:r>
      <w:r w:rsidRPr="00E95A2C">
        <w:rPr>
          <w:rFonts w:ascii="Times New Roman" w:hAnsi="Times New Roman"/>
          <w:sz w:val="22"/>
          <w:szCs w:val="22"/>
        </w:rPr>
        <w:t xml:space="preserve">, </w:t>
      </w:r>
      <w:r w:rsidR="00C44BE2" w:rsidRPr="00E95A2C">
        <w:rPr>
          <w:rFonts w:ascii="Times New Roman" w:hAnsi="Times New Roman"/>
          <w:sz w:val="22"/>
          <w:szCs w:val="22"/>
        </w:rPr>
        <w:t xml:space="preserve">enquadrando-se na regra do </w:t>
      </w:r>
      <w:r w:rsidR="00C44BE2" w:rsidRPr="00E95A2C">
        <w:rPr>
          <w:rFonts w:ascii="Times New Roman" w:eastAsia="Calibri" w:hAnsi="Times New Roman"/>
          <w:sz w:val="22"/>
          <w:szCs w:val="22"/>
        </w:rPr>
        <w:t>art. 3º, § 3º, d</w:t>
      </w:r>
      <w:r w:rsidRPr="00E95A2C">
        <w:rPr>
          <w:rFonts w:ascii="Times New Roman" w:eastAsia="Calibri" w:hAnsi="Times New Roman"/>
          <w:sz w:val="22"/>
          <w:szCs w:val="22"/>
        </w:rPr>
        <w:t xml:space="preserve">a Resolução nº 61 do CAU/BR </w:t>
      </w:r>
      <w:r w:rsidR="00C44BE2" w:rsidRPr="00E95A2C">
        <w:rPr>
          <w:rFonts w:ascii="Times New Roman" w:eastAsia="Calibri" w:hAnsi="Times New Roman"/>
          <w:sz w:val="22"/>
          <w:szCs w:val="22"/>
        </w:rPr>
        <w:t xml:space="preserve">que estabelece: </w:t>
      </w:r>
      <w:r w:rsidRPr="00E95A2C">
        <w:rPr>
          <w:rFonts w:ascii="Times New Roman" w:eastAsia="Calibri" w:hAnsi="Times New Roman"/>
          <w:i/>
          <w:sz w:val="22"/>
          <w:szCs w:val="22"/>
        </w:rPr>
        <w:t>“</w:t>
      </w:r>
      <w:r w:rsidR="00C44BE2" w:rsidRPr="00E95A2C">
        <w:rPr>
          <w:rFonts w:ascii="Times New Roman" w:eastAsia="Calibri" w:hAnsi="Times New Roman"/>
          <w:i/>
          <w:sz w:val="22"/>
          <w:szCs w:val="22"/>
        </w:rPr>
        <w:t>E</w:t>
      </w:r>
      <w:r w:rsidRPr="00E95A2C">
        <w:rPr>
          <w:rFonts w:ascii="Times New Roman" w:hAnsi="Times New Roman"/>
          <w:i/>
          <w:sz w:val="22"/>
          <w:szCs w:val="22"/>
        </w:rPr>
        <w:t xml:space="preserve">xclusivamente aos arquitetos e urbanistas que, até a data da publicação da Lei n° 12.378, de 31 de dezembro </w:t>
      </w:r>
    </w:p>
    <w:p w:rsidR="00177E6A" w:rsidRPr="00E95A2C" w:rsidRDefault="00177E6A" w:rsidP="00E95A2C">
      <w:pPr>
        <w:pStyle w:val="PargrafodaLista"/>
        <w:numPr>
          <w:ilvl w:val="0"/>
          <w:numId w:val="24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E95A2C">
        <w:rPr>
          <w:rFonts w:ascii="Times New Roman" w:hAnsi="Times New Roman"/>
          <w:i/>
          <w:sz w:val="22"/>
          <w:szCs w:val="22"/>
        </w:rPr>
        <w:lastRenderedPageBreak/>
        <w:t>de</w:t>
      </w:r>
      <w:proofErr w:type="gramEnd"/>
      <w:r w:rsidRPr="00E95A2C">
        <w:rPr>
          <w:rFonts w:ascii="Times New Roman" w:hAnsi="Times New Roman"/>
          <w:i/>
          <w:sz w:val="22"/>
          <w:szCs w:val="22"/>
        </w:rPr>
        <w:t xml:space="preserve"> 2010, tenham completado 35 (trinta e cinco) anos de contribuição aos então Conselhos Regionais de Engenharia, Arquitetura e Agronomia (CREA), será concedido, cumulativamente com o benefício de que trata o art. 2°, inciso III, letra “b” desta Resolução, adicional de desconto de 40% (quarenta por cento), perfazendo o desconto total de 90% (noventa </w:t>
      </w:r>
      <w:r w:rsidRPr="00E95A2C">
        <w:rPr>
          <w:rFonts w:ascii="Times New Roman" w:hAnsi="Times New Roman"/>
          <w:i/>
          <w:sz w:val="22"/>
          <w:szCs w:val="22"/>
        </w:rPr>
        <w:lastRenderedPageBreak/>
        <w:t>por cento), para o caso de optarem pelo pagamento integral da anuidade na forma prevista no inciso I do caput deste artigo</w:t>
      </w:r>
      <w:r w:rsidRPr="00E95A2C">
        <w:rPr>
          <w:rFonts w:ascii="Times New Roman" w:hAnsi="Times New Roman"/>
          <w:sz w:val="22"/>
          <w:szCs w:val="22"/>
        </w:rPr>
        <w:t>”. Sendo assim, resta claro q</w:t>
      </w:r>
      <w:r w:rsidR="00C44BE2" w:rsidRPr="00E95A2C">
        <w:rPr>
          <w:rFonts w:ascii="Times New Roman" w:hAnsi="Times New Roman"/>
          <w:sz w:val="22"/>
          <w:szCs w:val="22"/>
        </w:rPr>
        <w:t xml:space="preserve">ue o profissional tem direito a 90% (noventa por cento) de desconto </w:t>
      </w:r>
      <w:r w:rsidRPr="00E95A2C">
        <w:rPr>
          <w:rFonts w:ascii="Times New Roman" w:hAnsi="Times New Roman"/>
          <w:sz w:val="22"/>
          <w:szCs w:val="22"/>
        </w:rPr>
        <w:t>sobre o valor das anuidades que ainda restam em debito com o presente Conselho.</w:t>
      </w:r>
    </w:p>
    <w:p w:rsidR="000703B4" w:rsidRPr="00E95A2C" w:rsidRDefault="00177E6A" w:rsidP="00E95A2C">
      <w:pPr>
        <w:pStyle w:val="PargrafodaLista"/>
        <w:numPr>
          <w:ilvl w:val="0"/>
          <w:numId w:val="24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hAnsi="Times New Roman"/>
          <w:sz w:val="22"/>
          <w:szCs w:val="22"/>
        </w:rPr>
        <w:t xml:space="preserve">Por sua vez, no que tange a isenção pleiteada, devem ser respeitadas as regras estabelecidas pela </w:t>
      </w:r>
      <w:r w:rsidR="00D63ED3" w:rsidRPr="00E95A2C">
        <w:rPr>
          <w:rFonts w:ascii="Times New Roman" w:eastAsia="Calibri" w:hAnsi="Times New Roman"/>
          <w:sz w:val="22"/>
          <w:szCs w:val="22"/>
        </w:rPr>
        <w:t xml:space="preserve">Resolução nº </w:t>
      </w:r>
      <w:r w:rsidRPr="00E95A2C">
        <w:rPr>
          <w:rFonts w:ascii="Times New Roman" w:eastAsia="Calibri" w:hAnsi="Times New Roman"/>
          <w:sz w:val="22"/>
          <w:szCs w:val="22"/>
        </w:rPr>
        <w:t>121</w:t>
      </w:r>
      <w:r w:rsidR="00D63ED3" w:rsidRPr="00E95A2C">
        <w:rPr>
          <w:rFonts w:ascii="Times New Roman" w:eastAsia="Calibri" w:hAnsi="Times New Roman"/>
          <w:sz w:val="22"/>
          <w:szCs w:val="22"/>
        </w:rPr>
        <w:t xml:space="preserve">, do CAU/BR, </w:t>
      </w:r>
      <w:r w:rsidRPr="00E95A2C">
        <w:rPr>
          <w:rFonts w:ascii="Times New Roman" w:eastAsia="Calibri" w:hAnsi="Times New Roman"/>
          <w:sz w:val="22"/>
          <w:szCs w:val="22"/>
        </w:rPr>
        <w:t>que dispõe</w:t>
      </w:r>
      <w:r w:rsidR="0010535E" w:rsidRPr="00E95A2C">
        <w:rPr>
          <w:rFonts w:ascii="Times New Roman" w:eastAsia="Calibri" w:hAnsi="Times New Roman"/>
          <w:sz w:val="22"/>
          <w:szCs w:val="22"/>
        </w:rPr>
        <w:t>:</w:t>
      </w:r>
    </w:p>
    <w:p w:rsidR="0010535E" w:rsidRPr="00E95A2C" w:rsidRDefault="006839AC" w:rsidP="00E95A2C">
      <w:pPr>
        <w:spacing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“</w:t>
      </w:r>
      <w:r w:rsidR="0010535E" w:rsidRPr="00E95A2C">
        <w:rPr>
          <w:rFonts w:ascii="Times New Roman" w:eastAsia="Calibri" w:hAnsi="Times New Roman"/>
          <w:sz w:val="22"/>
          <w:szCs w:val="22"/>
        </w:rPr>
        <w:t>Art. 2° Na fixação dos valores de anuidades, inclusive nos casos em que</w:t>
      </w:r>
      <w:r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="0010535E" w:rsidRPr="00E95A2C">
        <w:rPr>
          <w:rFonts w:ascii="Times New Roman" w:eastAsia="Calibri" w:hAnsi="Times New Roman"/>
          <w:sz w:val="22"/>
          <w:szCs w:val="22"/>
        </w:rPr>
        <w:t>haja interrupção de registro, serão observadas as seguintes regras:</w:t>
      </w:r>
    </w:p>
    <w:p w:rsidR="005F4B0B" w:rsidRPr="00E95A2C" w:rsidRDefault="005F4B0B" w:rsidP="00E95A2C">
      <w:pPr>
        <w:spacing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(...)</w:t>
      </w:r>
    </w:p>
    <w:p w:rsidR="0010535E" w:rsidRPr="00E95A2C" w:rsidRDefault="0010535E" w:rsidP="00E95A2C">
      <w:pPr>
        <w:spacing w:after="120"/>
        <w:ind w:left="2268"/>
        <w:jc w:val="both"/>
        <w:rPr>
          <w:rFonts w:ascii="Times New Roman" w:eastAsia="Calibri" w:hAnsi="Times New Roman"/>
          <w:sz w:val="22"/>
          <w:szCs w:val="22"/>
          <w:u w:val="single"/>
        </w:rPr>
      </w:pPr>
      <w:r w:rsidRPr="00E95A2C">
        <w:rPr>
          <w:rFonts w:ascii="Times New Roman" w:eastAsia="Calibri" w:hAnsi="Times New Roman"/>
          <w:sz w:val="22"/>
          <w:szCs w:val="22"/>
          <w:u w:val="single"/>
        </w:rPr>
        <w:t>VII – ficarão ainda isentos do pagamento da anuidade os arquitetos e</w:t>
      </w:r>
      <w:r w:rsidR="006839AC" w:rsidRPr="00E95A2C">
        <w:rPr>
          <w:rFonts w:ascii="Times New Roman" w:eastAsia="Calibri" w:hAnsi="Times New Roman"/>
          <w:sz w:val="22"/>
          <w:szCs w:val="22"/>
          <w:u w:val="single"/>
        </w:rPr>
        <w:t xml:space="preserve"> </w:t>
      </w:r>
      <w:r w:rsidRPr="00E95A2C">
        <w:rPr>
          <w:rFonts w:ascii="Times New Roman" w:eastAsia="Calibri" w:hAnsi="Times New Roman"/>
          <w:sz w:val="22"/>
          <w:szCs w:val="22"/>
          <w:u w:val="single"/>
        </w:rPr>
        <w:t xml:space="preserve">urbanistas portadores de doença grave prevista em </w:t>
      </w:r>
      <w:r w:rsidRPr="00E95A2C">
        <w:rPr>
          <w:rFonts w:ascii="Times New Roman" w:eastAsia="Calibri" w:hAnsi="Times New Roman"/>
          <w:b/>
          <w:sz w:val="22"/>
          <w:szCs w:val="22"/>
          <w:u w:val="single"/>
        </w:rPr>
        <w:t>Instrução Normativa da</w:t>
      </w:r>
      <w:r w:rsidR="006839AC" w:rsidRPr="00E95A2C">
        <w:rPr>
          <w:rFonts w:ascii="Times New Roman" w:eastAsia="Calibri" w:hAnsi="Times New Roman"/>
          <w:b/>
          <w:sz w:val="22"/>
          <w:szCs w:val="22"/>
          <w:u w:val="single"/>
        </w:rPr>
        <w:t xml:space="preserve"> </w:t>
      </w:r>
      <w:r w:rsidRPr="00E95A2C">
        <w:rPr>
          <w:rFonts w:ascii="Times New Roman" w:eastAsia="Calibri" w:hAnsi="Times New Roman"/>
          <w:b/>
          <w:sz w:val="22"/>
          <w:szCs w:val="22"/>
          <w:u w:val="single"/>
        </w:rPr>
        <w:t>Secretaria da Receita Federal do Brasil que estiver em vigor para Imposto</w:t>
      </w:r>
      <w:r w:rsidR="005F4B0B" w:rsidRPr="00E95A2C">
        <w:rPr>
          <w:rFonts w:ascii="Times New Roman" w:eastAsia="Calibri" w:hAnsi="Times New Roman"/>
          <w:b/>
          <w:sz w:val="22"/>
          <w:szCs w:val="22"/>
          <w:u w:val="single"/>
        </w:rPr>
        <w:t xml:space="preserve"> </w:t>
      </w:r>
      <w:r w:rsidRPr="00E95A2C">
        <w:rPr>
          <w:rFonts w:ascii="Times New Roman" w:eastAsia="Calibri" w:hAnsi="Times New Roman"/>
          <w:b/>
          <w:sz w:val="22"/>
          <w:szCs w:val="22"/>
          <w:u w:val="single"/>
        </w:rPr>
        <w:t>de Renda</w:t>
      </w:r>
      <w:r w:rsidRPr="00E95A2C">
        <w:rPr>
          <w:rFonts w:ascii="Times New Roman" w:eastAsia="Calibri" w:hAnsi="Times New Roman"/>
          <w:sz w:val="22"/>
          <w:szCs w:val="22"/>
        </w:rPr>
        <w:t>, observados os seguintes requisitos:</w:t>
      </w:r>
    </w:p>
    <w:p w:rsidR="0010535E" w:rsidRPr="00E95A2C" w:rsidRDefault="0010535E" w:rsidP="00E95A2C">
      <w:pPr>
        <w:spacing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  <w:u w:val="single"/>
        </w:rPr>
        <w:t>a) para efeito de reconhecimento de isenção, a doença deve ser comprovada</w:t>
      </w:r>
      <w:r w:rsidR="006839AC" w:rsidRPr="00E95A2C">
        <w:rPr>
          <w:rFonts w:ascii="Times New Roman" w:eastAsia="Calibri" w:hAnsi="Times New Roman"/>
          <w:sz w:val="22"/>
          <w:szCs w:val="22"/>
          <w:u w:val="single"/>
        </w:rPr>
        <w:t xml:space="preserve"> </w:t>
      </w:r>
      <w:r w:rsidRPr="00E95A2C">
        <w:rPr>
          <w:rFonts w:ascii="Times New Roman" w:eastAsia="Calibri" w:hAnsi="Times New Roman"/>
          <w:sz w:val="22"/>
          <w:szCs w:val="22"/>
          <w:u w:val="single"/>
        </w:rPr>
        <w:t>mediante laudo pericial emitido por serviço de saúde oficial da União, dos</w:t>
      </w:r>
      <w:r w:rsidR="005F4B0B" w:rsidRPr="00E95A2C">
        <w:rPr>
          <w:rFonts w:ascii="Times New Roman" w:eastAsia="Calibri" w:hAnsi="Times New Roman"/>
          <w:sz w:val="22"/>
          <w:szCs w:val="22"/>
          <w:u w:val="single"/>
        </w:rPr>
        <w:t xml:space="preserve"> </w:t>
      </w:r>
      <w:r w:rsidRPr="00E95A2C">
        <w:rPr>
          <w:rFonts w:ascii="Times New Roman" w:eastAsia="Calibri" w:hAnsi="Times New Roman"/>
          <w:sz w:val="22"/>
          <w:szCs w:val="22"/>
          <w:u w:val="single"/>
        </w:rPr>
        <w:t>Estados, do DF e/ou do Município, devendo ser fixado o prazo de validade</w:t>
      </w:r>
      <w:r w:rsidR="005F4B0B" w:rsidRPr="00E95A2C">
        <w:rPr>
          <w:rFonts w:ascii="Times New Roman" w:eastAsia="Calibri" w:hAnsi="Times New Roman"/>
          <w:sz w:val="22"/>
          <w:szCs w:val="22"/>
          <w:u w:val="single"/>
        </w:rPr>
        <w:t xml:space="preserve"> </w:t>
      </w:r>
      <w:r w:rsidRPr="00E95A2C">
        <w:rPr>
          <w:rFonts w:ascii="Times New Roman" w:eastAsia="Calibri" w:hAnsi="Times New Roman"/>
          <w:sz w:val="22"/>
          <w:szCs w:val="22"/>
          <w:u w:val="single"/>
        </w:rPr>
        <w:t>do laudo pericial, no caso de doenças passíveis de controle</w:t>
      </w:r>
      <w:r w:rsidRPr="00E95A2C">
        <w:rPr>
          <w:rFonts w:ascii="Times New Roman" w:eastAsia="Calibri" w:hAnsi="Times New Roman"/>
          <w:sz w:val="22"/>
          <w:szCs w:val="22"/>
        </w:rPr>
        <w:t>.</w:t>
      </w:r>
    </w:p>
    <w:p w:rsidR="0010535E" w:rsidRPr="00E95A2C" w:rsidRDefault="0010535E" w:rsidP="00E95A2C">
      <w:pPr>
        <w:spacing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b) a isenção será válida enquanto durar a doença, devendo a comprovação,</w:t>
      </w:r>
      <w:r w:rsidR="006839AC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Pr="00E95A2C">
        <w:rPr>
          <w:rFonts w:ascii="Times New Roman" w:eastAsia="Calibri" w:hAnsi="Times New Roman"/>
          <w:sz w:val="22"/>
          <w:szCs w:val="22"/>
        </w:rPr>
        <w:t>descrita na alínea “a”, ser feita anualmente pelo profissional inscrito até a</w:t>
      </w:r>
      <w:r w:rsidR="006839AC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Pr="00E95A2C">
        <w:rPr>
          <w:rFonts w:ascii="Times New Roman" w:eastAsia="Calibri" w:hAnsi="Times New Roman"/>
          <w:sz w:val="22"/>
          <w:szCs w:val="22"/>
        </w:rPr>
        <w:t>efetiva cura.</w:t>
      </w:r>
    </w:p>
    <w:p w:rsidR="0010535E" w:rsidRPr="00E95A2C" w:rsidRDefault="0010535E" w:rsidP="00E95A2C">
      <w:pPr>
        <w:spacing w:after="120"/>
        <w:ind w:left="2268"/>
        <w:jc w:val="both"/>
        <w:rPr>
          <w:rFonts w:ascii="Times New Roman" w:eastAsia="Calibri" w:hAnsi="Times New Roman"/>
          <w:sz w:val="22"/>
          <w:szCs w:val="22"/>
          <w:u w:val="single"/>
        </w:rPr>
      </w:pPr>
      <w:r w:rsidRPr="00E95A2C">
        <w:rPr>
          <w:rFonts w:ascii="Times New Roman" w:eastAsia="Calibri" w:hAnsi="Times New Roman"/>
          <w:sz w:val="22"/>
          <w:szCs w:val="22"/>
          <w:u w:val="single"/>
        </w:rPr>
        <w:t>c) a isenção não impede a cobrança de débitos dos exercícios anteriores.</w:t>
      </w:r>
    </w:p>
    <w:p w:rsidR="0010535E" w:rsidRPr="00E95A2C" w:rsidRDefault="0010535E" w:rsidP="00E95A2C">
      <w:pPr>
        <w:spacing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d) para a isenção do valor integral da anuidade do exercício, a</w:t>
      </w:r>
      <w:r w:rsidR="006839AC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Pr="00E95A2C">
        <w:rPr>
          <w:rFonts w:ascii="Times New Roman" w:eastAsia="Calibri" w:hAnsi="Times New Roman"/>
          <w:sz w:val="22"/>
          <w:szCs w:val="22"/>
        </w:rPr>
        <w:t>comprovação que se refere a alínea “a” deverá ser feita até a data de</w:t>
      </w:r>
      <w:r w:rsidR="006839AC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Pr="00E95A2C">
        <w:rPr>
          <w:rFonts w:ascii="Times New Roman" w:eastAsia="Calibri" w:hAnsi="Times New Roman"/>
          <w:sz w:val="22"/>
          <w:szCs w:val="22"/>
        </w:rPr>
        <w:t>vencimento da anuidade.</w:t>
      </w:r>
    </w:p>
    <w:p w:rsidR="00183E3A" w:rsidRPr="00E95A2C" w:rsidRDefault="0010535E" w:rsidP="00E95A2C">
      <w:pPr>
        <w:spacing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 xml:space="preserve">e) </w:t>
      </w:r>
      <w:r w:rsidR="006839AC" w:rsidRPr="00E95A2C">
        <w:rPr>
          <w:rFonts w:ascii="Times New Roman" w:eastAsia="Calibri" w:hAnsi="Times New Roman"/>
          <w:sz w:val="22"/>
          <w:szCs w:val="22"/>
        </w:rPr>
        <w:t>nos casos em que a comprovação se der após a data de vencimento da anuidade do exercício, o solicitante terá seu direito de isenção referente aos duodécimos restantes do exercício.</w:t>
      </w:r>
    </w:p>
    <w:p w:rsidR="0010535E" w:rsidRPr="00E95A2C" w:rsidRDefault="00183E3A" w:rsidP="00E95A2C">
      <w:pPr>
        <w:spacing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(...)</w:t>
      </w:r>
      <w:r w:rsidR="006839AC" w:rsidRPr="00E95A2C">
        <w:rPr>
          <w:rFonts w:ascii="Times New Roman" w:eastAsia="Calibri" w:hAnsi="Times New Roman"/>
          <w:sz w:val="22"/>
          <w:szCs w:val="22"/>
        </w:rPr>
        <w:t>”</w:t>
      </w:r>
      <w:r w:rsidR="00D63ED3" w:rsidRPr="00E95A2C">
        <w:rPr>
          <w:rFonts w:ascii="Times New Roman" w:eastAsia="Calibri" w:hAnsi="Times New Roman"/>
          <w:sz w:val="22"/>
          <w:szCs w:val="22"/>
        </w:rPr>
        <w:t xml:space="preserve"> Grifou-se.</w:t>
      </w:r>
    </w:p>
    <w:p w:rsidR="005F4B0B" w:rsidRPr="00E95A2C" w:rsidRDefault="005F4B0B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C44BE2" w:rsidRPr="00E95A2C" w:rsidRDefault="00C44BE2" w:rsidP="00E95A2C">
      <w:pPr>
        <w:pStyle w:val="PargrafodaLista"/>
        <w:numPr>
          <w:ilvl w:val="0"/>
          <w:numId w:val="24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Pela referida Resolução, pode-se observar que ficarão isentos do pagamento da anuidade os arquitetos e urbanistas portadores de doença grave prevista na Instrução Normativa nº 1.500/2014, da Secretaria da Receita Federal do Brasil, a qual estava em vigor na época da impugnação e que dispõe:</w:t>
      </w:r>
    </w:p>
    <w:p w:rsidR="00C44BE2" w:rsidRPr="00E95A2C" w:rsidRDefault="00C44BE2" w:rsidP="00E95A2C">
      <w:pPr>
        <w:tabs>
          <w:tab w:val="left" w:pos="1418"/>
        </w:tabs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“Art. 6º São isentos ou não se sujeitam ao imposto sobre a renda, os seguintes rendimentos originários pagos por previdências: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(...)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 xml:space="preserve">II - proventos de aposentadoria ou reforma motivada por </w:t>
      </w:r>
      <w:r w:rsidRPr="00E95A2C">
        <w:rPr>
          <w:rFonts w:ascii="Times New Roman" w:eastAsia="Calibri" w:hAnsi="Times New Roman"/>
          <w:sz w:val="22"/>
          <w:szCs w:val="22"/>
          <w:u w:val="single"/>
        </w:rPr>
        <w:t>acidente em serviço</w:t>
      </w:r>
      <w:r w:rsidRPr="00E95A2C">
        <w:rPr>
          <w:rFonts w:ascii="Times New Roman" w:eastAsia="Calibri" w:hAnsi="Times New Roman"/>
          <w:sz w:val="22"/>
          <w:szCs w:val="22"/>
        </w:rPr>
        <w:t xml:space="preserve"> e os percebidos pelos portadores de </w:t>
      </w:r>
      <w:r w:rsidRPr="00E95A2C">
        <w:rPr>
          <w:rFonts w:ascii="Times New Roman" w:eastAsia="Calibri" w:hAnsi="Times New Roman"/>
          <w:sz w:val="22"/>
          <w:szCs w:val="22"/>
          <w:u w:val="single"/>
        </w:rPr>
        <w:t xml:space="preserve">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E95A2C">
        <w:rPr>
          <w:rFonts w:ascii="Times New Roman" w:eastAsia="Calibri" w:hAnsi="Times New Roman"/>
          <w:sz w:val="22"/>
          <w:szCs w:val="22"/>
          <w:u w:val="single"/>
        </w:rPr>
        <w:t>espondiloartrose</w:t>
      </w:r>
      <w:proofErr w:type="spellEnd"/>
      <w:r w:rsidRPr="00E95A2C">
        <w:rPr>
          <w:rFonts w:ascii="Times New Roman" w:eastAsia="Calibri" w:hAnsi="Times New Roman"/>
          <w:sz w:val="22"/>
          <w:szCs w:val="22"/>
          <w:u w:val="single"/>
        </w:rPr>
        <w:t xml:space="preserve"> anquilosante, </w:t>
      </w:r>
      <w:proofErr w:type="spellStart"/>
      <w:r w:rsidRPr="00E95A2C">
        <w:rPr>
          <w:rFonts w:ascii="Times New Roman" w:eastAsia="Calibri" w:hAnsi="Times New Roman"/>
          <w:sz w:val="22"/>
          <w:szCs w:val="22"/>
          <w:u w:val="single"/>
        </w:rPr>
        <w:t>nefropatia</w:t>
      </w:r>
      <w:proofErr w:type="spellEnd"/>
      <w:r w:rsidRPr="00E95A2C">
        <w:rPr>
          <w:rFonts w:ascii="Times New Roman" w:eastAsia="Calibri" w:hAnsi="Times New Roman"/>
          <w:sz w:val="22"/>
          <w:szCs w:val="22"/>
          <w:u w:val="single"/>
        </w:rPr>
        <w:t xml:space="preserve"> grave, hepatopatia grave, estados avançados de doença de </w:t>
      </w:r>
      <w:proofErr w:type="spellStart"/>
      <w:r w:rsidRPr="00E95A2C">
        <w:rPr>
          <w:rFonts w:ascii="Times New Roman" w:eastAsia="Calibri" w:hAnsi="Times New Roman"/>
          <w:sz w:val="22"/>
          <w:szCs w:val="22"/>
          <w:u w:val="single"/>
        </w:rPr>
        <w:t>Paget</w:t>
      </w:r>
      <w:proofErr w:type="spellEnd"/>
      <w:r w:rsidRPr="00E95A2C">
        <w:rPr>
          <w:rFonts w:ascii="Times New Roman" w:eastAsia="Calibri" w:hAnsi="Times New Roman"/>
          <w:sz w:val="22"/>
          <w:szCs w:val="22"/>
          <w:u w:val="single"/>
        </w:rPr>
        <w:t xml:space="preserve"> (osteíte deformante), contaminação por radiação, síndrome de imunodeficiência adquirida (Aids), e fibrose cística (</w:t>
      </w:r>
      <w:proofErr w:type="spellStart"/>
      <w:r w:rsidRPr="00E95A2C">
        <w:rPr>
          <w:rFonts w:ascii="Times New Roman" w:eastAsia="Calibri" w:hAnsi="Times New Roman"/>
          <w:sz w:val="22"/>
          <w:szCs w:val="22"/>
          <w:u w:val="single"/>
        </w:rPr>
        <w:t>mucoviscidose</w:t>
      </w:r>
      <w:proofErr w:type="spellEnd"/>
      <w:r w:rsidRPr="00E95A2C">
        <w:rPr>
          <w:rFonts w:ascii="Times New Roman" w:eastAsia="Calibri" w:hAnsi="Times New Roman"/>
          <w:sz w:val="22"/>
          <w:szCs w:val="22"/>
          <w:u w:val="single"/>
        </w:rPr>
        <w:t>)</w:t>
      </w:r>
      <w:r w:rsidRPr="00E95A2C">
        <w:rPr>
          <w:rFonts w:ascii="Times New Roman" w:eastAsia="Calibri" w:hAnsi="Times New Roman"/>
          <w:sz w:val="22"/>
          <w:szCs w:val="22"/>
        </w:rPr>
        <w:t xml:space="preserve">, comprovada mediante laudo pericial emitido por serviço médico oficial, da União, dos estados, </w:t>
      </w:r>
      <w:r w:rsidRPr="00E95A2C">
        <w:rPr>
          <w:rFonts w:ascii="Times New Roman" w:eastAsia="Calibri" w:hAnsi="Times New Roman"/>
          <w:sz w:val="22"/>
          <w:szCs w:val="22"/>
        </w:rPr>
        <w:lastRenderedPageBreak/>
        <w:t>do Distrito Federal e dos municípios, devendo ser fixado o prazo de validade do laudo pericial no caso de moléstias passíveis de controle, mesmo que a doença tenha sido contraída depois da aposentadoria ou reforma, observado o disposto no § 4º;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III - valores recebidos a título de pensão, quando o beneficiário desse rendimento for portador de doença relacionada no inciso II do caput, exceto a decorrente de moléstia profissional, comprovada mediante laudo pericial emitido por serviço médico oficial, da União, dos estados, do Distrito Federal e dos municípios, devendo ser fixado o prazo de validade do laudo pericial no caso de moléstias passíveis de controle, mesmo que a doença tenha sido contraída depois da concessão da pensão, observado o disposto no § 4º;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(...)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I - aos rendimentos recebidos a partir: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a) do mês da concessão da aposentadoria, reforma ou pensão, quando a moléstia for preexistente;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b) do mês da emissão do laudo pericial, se a moléstia for contraída depois da concessão da aposentadoria, reforma ou pensão; ou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c) da data, identificada no laudo pericial, em que a moléstia foi contraída, desde que correspondam a proventos de aposentadoria, reforma ou pensão;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II - aos rendimentos recebidos acumuladamente por portador de moléstia grave, desde que correspondam a proventos de aposentadoria, reforma ou pensão, ainda que se refiram a período anterior à data em que foi contraída a moléstia grave;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III - à complementação de aposentadoria, reforma ou pensão recebida por portador de moléstia grave.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(...)”</w:t>
      </w:r>
    </w:p>
    <w:p w:rsidR="00C44BE2" w:rsidRPr="00E95A2C" w:rsidRDefault="00C44BE2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E80190" w:rsidRPr="00E95A2C" w:rsidRDefault="00C44BE2" w:rsidP="00E95A2C">
      <w:pPr>
        <w:pStyle w:val="PargrafodaLista"/>
        <w:numPr>
          <w:ilvl w:val="0"/>
          <w:numId w:val="24"/>
        </w:numPr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 xml:space="preserve">Além disso, deve ser observado o previsto na </w:t>
      </w:r>
      <w:r w:rsidR="00E80190" w:rsidRPr="00E95A2C">
        <w:rPr>
          <w:rFonts w:ascii="Times New Roman" w:eastAsia="Calibri" w:hAnsi="Times New Roman"/>
          <w:sz w:val="22"/>
          <w:szCs w:val="22"/>
        </w:rPr>
        <w:t>Lei nº 7.713/1988</w:t>
      </w:r>
      <w:r w:rsidR="00E87128" w:rsidRPr="00E95A2C">
        <w:rPr>
          <w:rFonts w:ascii="Times New Roman" w:eastAsia="Calibri" w:hAnsi="Times New Roman"/>
          <w:sz w:val="22"/>
          <w:szCs w:val="22"/>
        </w:rPr>
        <w:t xml:space="preserve">, </w:t>
      </w:r>
      <w:r w:rsidRPr="00E95A2C">
        <w:rPr>
          <w:rFonts w:ascii="Times New Roman" w:eastAsia="Calibri" w:hAnsi="Times New Roman"/>
          <w:sz w:val="22"/>
          <w:szCs w:val="22"/>
        </w:rPr>
        <w:t>que segue</w:t>
      </w:r>
      <w:r w:rsidR="00E80190" w:rsidRPr="00E95A2C">
        <w:rPr>
          <w:rFonts w:ascii="Times New Roman" w:eastAsia="Calibri" w:hAnsi="Times New Roman"/>
          <w:sz w:val="22"/>
          <w:szCs w:val="22"/>
        </w:rPr>
        <w:t>:</w:t>
      </w:r>
    </w:p>
    <w:p w:rsidR="00E80190" w:rsidRPr="00E95A2C" w:rsidRDefault="00E80190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“Art. 6º Ficam isentos do imposto de renda os seguinte rendimentos percebidos por pessoas físicas:</w:t>
      </w:r>
    </w:p>
    <w:p w:rsidR="00E80190" w:rsidRPr="00E95A2C" w:rsidRDefault="00E80190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(...)</w:t>
      </w:r>
    </w:p>
    <w:p w:rsidR="00E80190" w:rsidRPr="00E95A2C" w:rsidRDefault="00E80190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 xml:space="preserve">XIV – os proventos de aposentadoria ou reforma motivada por </w:t>
      </w:r>
      <w:r w:rsidRPr="00E95A2C">
        <w:rPr>
          <w:rFonts w:ascii="Times New Roman" w:eastAsia="Calibri" w:hAnsi="Times New Roman"/>
          <w:sz w:val="22"/>
          <w:szCs w:val="22"/>
          <w:u w:val="single"/>
        </w:rPr>
        <w:t>acidente em serviço</w:t>
      </w:r>
      <w:r w:rsidRPr="00E95A2C">
        <w:rPr>
          <w:rFonts w:ascii="Times New Roman" w:eastAsia="Calibri" w:hAnsi="Times New Roman"/>
          <w:sz w:val="22"/>
          <w:szCs w:val="22"/>
        </w:rPr>
        <w:t xml:space="preserve"> e os percebidos pelos portadores de </w:t>
      </w:r>
      <w:r w:rsidRPr="00E95A2C">
        <w:rPr>
          <w:rFonts w:ascii="Times New Roman" w:eastAsia="Calibri" w:hAnsi="Times New Roman"/>
          <w:sz w:val="22"/>
          <w:szCs w:val="22"/>
          <w:u w:val="single"/>
        </w:rPr>
        <w:t xml:space="preserve">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E95A2C">
        <w:rPr>
          <w:rFonts w:ascii="Times New Roman" w:eastAsia="Calibri" w:hAnsi="Times New Roman"/>
          <w:sz w:val="22"/>
          <w:szCs w:val="22"/>
          <w:u w:val="single"/>
        </w:rPr>
        <w:t>espondiloartrose</w:t>
      </w:r>
      <w:proofErr w:type="spellEnd"/>
      <w:r w:rsidRPr="00E95A2C">
        <w:rPr>
          <w:rFonts w:ascii="Times New Roman" w:eastAsia="Calibri" w:hAnsi="Times New Roman"/>
          <w:sz w:val="22"/>
          <w:szCs w:val="22"/>
          <w:u w:val="single"/>
        </w:rPr>
        <w:t xml:space="preserve"> anquilosante, </w:t>
      </w:r>
      <w:proofErr w:type="spellStart"/>
      <w:r w:rsidRPr="00E95A2C">
        <w:rPr>
          <w:rFonts w:ascii="Times New Roman" w:eastAsia="Calibri" w:hAnsi="Times New Roman"/>
          <w:sz w:val="22"/>
          <w:szCs w:val="22"/>
          <w:u w:val="single"/>
        </w:rPr>
        <w:t>nefropatia</w:t>
      </w:r>
      <w:proofErr w:type="spellEnd"/>
      <w:r w:rsidRPr="00E95A2C">
        <w:rPr>
          <w:rFonts w:ascii="Times New Roman" w:eastAsia="Calibri" w:hAnsi="Times New Roman"/>
          <w:sz w:val="22"/>
          <w:szCs w:val="22"/>
          <w:u w:val="single"/>
        </w:rPr>
        <w:t xml:space="preserve"> grave, hepatopatia grave, estados avançados da doença de </w:t>
      </w:r>
      <w:proofErr w:type="spellStart"/>
      <w:r w:rsidRPr="00E95A2C">
        <w:rPr>
          <w:rFonts w:ascii="Times New Roman" w:eastAsia="Calibri" w:hAnsi="Times New Roman"/>
          <w:sz w:val="22"/>
          <w:szCs w:val="22"/>
          <w:u w:val="single"/>
        </w:rPr>
        <w:t>Paget</w:t>
      </w:r>
      <w:proofErr w:type="spellEnd"/>
      <w:r w:rsidRPr="00E95A2C">
        <w:rPr>
          <w:rFonts w:ascii="Times New Roman" w:eastAsia="Calibri" w:hAnsi="Times New Roman"/>
          <w:sz w:val="22"/>
          <w:szCs w:val="22"/>
          <w:u w:val="single"/>
        </w:rPr>
        <w:t xml:space="preserve"> (osteíte deformante), contaminação por radiação, síndrome da imunodeficiência adquirida, com base em conclusão da medicina especializada, mesmo que a doença tenha sido contraída depois da aposentadoria ou reforma</w:t>
      </w:r>
      <w:r w:rsidRPr="00E95A2C">
        <w:rPr>
          <w:rFonts w:ascii="Times New Roman" w:eastAsia="Calibri" w:hAnsi="Times New Roman"/>
          <w:sz w:val="22"/>
          <w:szCs w:val="22"/>
        </w:rPr>
        <w:t xml:space="preserve">; </w:t>
      </w:r>
      <w:r w:rsidRPr="00E95A2C">
        <w:rPr>
          <w:rFonts w:ascii="Times New Roman" w:eastAsia="Calibri" w:hAnsi="Times New Roman"/>
          <w:sz w:val="22"/>
          <w:szCs w:val="22"/>
        </w:rPr>
        <w:lastRenderedPageBreak/>
        <w:t>(Redação dada pela Lei nº 11.052, de 2004)</w:t>
      </w:r>
      <w:r w:rsidR="00B02E23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Pr="00E95A2C">
        <w:rPr>
          <w:rFonts w:ascii="Times New Roman" w:eastAsia="Calibri" w:hAnsi="Times New Roman"/>
          <w:sz w:val="22"/>
          <w:szCs w:val="22"/>
        </w:rPr>
        <w:t>(Vide Lei nº 13.105, de 2015)</w:t>
      </w:r>
      <w:r w:rsidR="00B02E23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Pr="00E95A2C">
        <w:rPr>
          <w:rFonts w:ascii="Times New Roman" w:eastAsia="Calibri" w:hAnsi="Times New Roman"/>
          <w:sz w:val="22"/>
          <w:szCs w:val="22"/>
        </w:rPr>
        <w:t>(Vigência)</w:t>
      </w:r>
    </w:p>
    <w:p w:rsidR="00E80190" w:rsidRPr="00E95A2C" w:rsidRDefault="00E80190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(...)</w:t>
      </w:r>
      <w:r w:rsidR="00A87700" w:rsidRPr="00E95A2C">
        <w:rPr>
          <w:rFonts w:ascii="Times New Roman" w:eastAsia="Calibri" w:hAnsi="Times New Roman"/>
          <w:sz w:val="22"/>
          <w:szCs w:val="22"/>
        </w:rPr>
        <w:t>”</w:t>
      </w:r>
    </w:p>
    <w:p w:rsidR="00E80190" w:rsidRPr="00E95A2C" w:rsidRDefault="00E80190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DF25D9" w:rsidRPr="00E95A2C" w:rsidRDefault="00DF25D9" w:rsidP="00E95A2C">
      <w:pPr>
        <w:pStyle w:val="PargrafodaLista"/>
        <w:numPr>
          <w:ilvl w:val="0"/>
          <w:numId w:val="24"/>
        </w:numPr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hAnsi="Times New Roman"/>
          <w:sz w:val="22"/>
          <w:szCs w:val="22"/>
        </w:rPr>
        <w:t>Deste modo, entendo que as</w:t>
      </w:r>
      <w:r w:rsidR="00972FDB" w:rsidRPr="00E95A2C">
        <w:rPr>
          <w:rFonts w:ascii="Times New Roman" w:hAnsi="Times New Roman"/>
          <w:sz w:val="22"/>
          <w:szCs w:val="22"/>
        </w:rPr>
        <w:t xml:space="preserve"> </w:t>
      </w:r>
      <w:r w:rsidR="00704649" w:rsidRPr="00E95A2C">
        <w:rPr>
          <w:rFonts w:ascii="Times New Roman" w:hAnsi="Times New Roman"/>
          <w:sz w:val="22"/>
          <w:szCs w:val="22"/>
        </w:rPr>
        <w:t xml:space="preserve">anuidades de 2012, </w:t>
      </w:r>
      <w:r w:rsidR="00410116" w:rsidRPr="00E95A2C">
        <w:rPr>
          <w:rFonts w:ascii="Times New Roman" w:hAnsi="Times New Roman"/>
          <w:sz w:val="22"/>
          <w:szCs w:val="22"/>
        </w:rPr>
        <w:t>2013</w:t>
      </w:r>
      <w:r w:rsidR="00704649" w:rsidRPr="00E95A2C">
        <w:rPr>
          <w:rFonts w:ascii="Times New Roman" w:hAnsi="Times New Roman"/>
          <w:sz w:val="22"/>
          <w:szCs w:val="22"/>
        </w:rPr>
        <w:t xml:space="preserve"> e 2014 (parcialmente)</w:t>
      </w:r>
      <w:r w:rsidRPr="00E95A2C">
        <w:rPr>
          <w:rFonts w:ascii="Times New Roman" w:hAnsi="Times New Roman"/>
          <w:sz w:val="22"/>
          <w:szCs w:val="22"/>
        </w:rPr>
        <w:t xml:space="preserve"> são </w:t>
      </w:r>
      <w:r w:rsidR="00410116" w:rsidRPr="00E95A2C">
        <w:rPr>
          <w:rFonts w:ascii="Times New Roman" w:hAnsi="Times New Roman"/>
          <w:sz w:val="22"/>
          <w:szCs w:val="22"/>
        </w:rPr>
        <w:t>devidas, pois</w:t>
      </w:r>
      <w:r w:rsidR="00972FDB" w:rsidRPr="00E95A2C">
        <w:rPr>
          <w:rFonts w:ascii="Times New Roman" w:hAnsi="Times New Roman"/>
          <w:sz w:val="22"/>
          <w:szCs w:val="22"/>
        </w:rPr>
        <w:t xml:space="preserve">, </w:t>
      </w:r>
      <w:r w:rsidRPr="00E95A2C">
        <w:rPr>
          <w:rFonts w:ascii="Times New Roman" w:hAnsi="Times New Roman"/>
          <w:sz w:val="22"/>
          <w:szCs w:val="22"/>
        </w:rPr>
        <w:t xml:space="preserve">pelas provas existentes nos autos, a condição patológica do profissional não se insere nas regras de isenção por doença grave, conforme o disposto no </w:t>
      </w:r>
      <w:r w:rsidRPr="00E95A2C">
        <w:rPr>
          <w:rFonts w:ascii="Times New Roman" w:eastAsia="Calibri" w:hAnsi="Times New Roman"/>
          <w:sz w:val="22"/>
          <w:szCs w:val="22"/>
        </w:rPr>
        <w:t>art. 2º, inciso VII, da Resolução nº 121 do CAU/BR. Q</w:t>
      </w:r>
      <w:r w:rsidRPr="00E95A2C">
        <w:rPr>
          <w:rFonts w:ascii="Times New Roman" w:hAnsi="Times New Roman"/>
          <w:sz w:val="22"/>
          <w:szCs w:val="22"/>
        </w:rPr>
        <w:t>uanto à anuidade de 2014, entendo é devida parcialmente, pois o benefício de isenção, concedido pelo art. 2º, inciso IV e § 3º, da Resolução nº 61 do CAU/BR, inicia-se a partir do mês em que o profissional completar 40 (quarenta) anos de contribuição, conforme se observa:</w:t>
      </w:r>
    </w:p>
    <w:p w:rsidR="00DF25D9" w:rsidRPr="00E95A2C" w:rsidRDefault="00DF25D9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“Art. 2° A fixação dos valores de anuidades observará as seguintes regras:</w:t>
      </w:r>
    </w:p>
    <w:p w:rsidR="00DF25D9" w:rsidRPr="00E95A2C" w:rsidRDefault="00DF25D9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(...)</w:t>
      </w:r>
    </w:p>
    <w:p w:rsidR="00DF25D9" w:rsidRPr="00E95A2C" w:rsidRDefault="00DF25D9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IV – ficarão isentos do pagamento da anuidade os profissionais com no mínimo 40 (quarenta) anos de contribuição.</w:t>
      </w:r>
    </w:p>
    <w:p w:rsidR="00DF25D9" w:rsidRPr="00E95A2C" w:rsidRDefault="00DF25D9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(...)</w:t>
      </w:r>
    </w:p>
    <w:p w:rsidR="00DF25D9" w:rsidRPr="00E95A2C" w:rsidRDefault="00DF25D9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§ 3º Para cálculo do disposto no inciso IV do caput deste artigo serão considerados os anos transcorridos desde o mês de inscrição e contribuição até o mês em que se completarem os 40 (quarenta) anos, iniciando-se a partir daí o benefício.”</w:t>
      </w:r>
    </w:p>
    <w:p w:rsidR="00DF25D9" w:rsidRPr="00E95A2C" w:rsidRDefault="00DF25D9" w:rsidP="00E95A2C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1C342A" w:rsidRPr="00E95A2C" w:rsidRDefault="001C342A" w:rsidP="00E95A2C">
      <w:pPr>
        <w:pStyle w:val="PargrafodaLista"/>
        <w:numPr>
          <w:ilvl w:val="0"/>
          <w:numId w:val="24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Quanto às anuidades em atraso, portanto, entendo a cobrança como devida</w:t>
      </w:r>
      <w:r w:rsidRPr="00E95A2C">
        <w:rPr>
          <w:rFonts w:ascii="Times New Roman" w:hAnsi="Times New Roman"/>
          <w:sz w:val="22"/>
          <w:szCs w:val="22"/>
        </w:rPr>
        <w:t xml:space="preserve">, pois não só o profissional estava devidamente registrado, mas também </w:t>
      </w:r>
      <w:r w:rsidR="008D5110" w:rsidRPr="00E95A2C">
        <w:rPr>
          <w:rFonts w:ascii="Times New Roman" w:eastAsia="Calibri" w:hAnsi="Times New Roman"/>
          <w:sz w:val="22"/>
          <w:szCs w:val="22"/>
        </w:rPr>
        <w:t xml:space="preserve">as enfermidades comprovadas nos autos não encontram guarida no rol de doenças aptas a garantir isenção ao pagamento de tributo, conforme o disposto no art. 2º, inciso VII, da Resolução nº 121 do CAU/BR. </w:t>
      </w:r>
      <w:r w:rsidRPr="00E95A2C">
        <w:rPr>
          <w:rFonts w:ascii="Times New Roman" w:eastAsia="Calibri" w:hAnsi="Times New Roman"/>
          <w:sz w:val="22"/>
          <w:szCs w:val="22"/>
        </w:rPr>
        <w:t>Resta configurado o dever de pagar as anuidades referentes a este período.</w:t>
      </w:r>
    </w:p>
    <w:p w:rsidR="001C342A" w:rsidRPr="00E95A2C" w:rsidRDefault="00984342" w:rsidP="00E95A2C">
      <w:pPr>
        <w:pStyle w:val="PargrafodaLista"/>
        <w:numPr>
          <w:ilvl w:val="0"/>
          <w:numId w:val="24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 xml:space="preserve">Diante </w:t>
      </w:r>
      <w:r w:rsidR="001C342A" w:rsidRPr="00E95A2C">
        <w:rPr>
          <w:rFonts w:ascii="Times New Roman" w:eastAsia="Calibri" w:hAnsi="Times New Roman"/>
          <w:sz w:val="22"/>
          <w:szCs w:val="22"/>
        </w:rPr>
        <w:t>d</w:t>
      </w:r>
      <w:r w:rsidRPr="00E95A2C">
        <w:rPr>
          <w:rFonts w:ascii="Times New Roman" w:eastAsia="Calibri" w:hAnsi="Times New Roman"/>
          <w:sz w:val="22"/>
          <w:szCs w:val="22"/>
        </w:rPr>
        <w:t xml:space="preserve">o exposto, opino pela </w:t>
      </w:r>
      <w:r w:rsidR="00A90E32" w:rsidRPr="00E95A2C">
        <w:rPr>
          <w:rFonts w:ascii="Times New Roman" w:eastAsia="Calibri" w:hAnsi="Times New Roman"/>
          <w:b/>
          <w:sz w:val="22"/>
          <w:szCs w:val="22"/>
        </w:rPr>
        <w:t xml:space="preserve">PARCIAL </w:t>
      </w:r>
      <w:r w:rsidRPr="00E95A2C">
        <w:rPr>
          <w:rFonts w:ascii="Times New Roman" w:eastAsia="Calibri" w:hAnsi="Times New Roman"/>
          <w:b/>
          <w:sz w:val="22"/>
          <w:szCs w:val="22"/>
        </w:rPr>
        <w:t>PROCEDÊNCIA</w:t>
      </w:r>
      <w:r w:rsidR="000D2C40" w:rsidRPr="00E95A2C">
        <w:rPr>
          <w:rFonts w:ascii="Times New Roman" w:eastAsia="Calibri" w:hAnsi="Times New Roman"/>
          <w:sz w:val="22"/>
          <w:szCs w:val="22"/>
        </w:rPr>
        <w:t xml:space="preserve"> da impugnação oferecida pel</w:t>
      </w:r>
      <w:r w:rsidR="008E7483" w:rsidRPr="00E95A2C">
        <w:rPr>
          <w:rFonts w:ascii="Times New Roman" w:eastAsia="Calibri" w:hAnsi="Times New Roman"/>
          <w:sz w:val="22"/>
          <w:szCs w:val="22"/>
        </w:rPr>
        <w:t>o contribuinte</w:t>
      </w:r>
      <w:r w:rsidR="00AE5B1C" w:rsidRPr="00E95A2C">
        <w:rPr>
          <w:rFonts w:ascii="Times New Roman" w:eastAsia="Calibri" w:hAnsi="Times New Roman"/>
          <w:sz w:val="22"/>
          <w:szCs w:val="22"/>
        </w:rPr>
        <w:t xml:space="preserve">, </w:t>
      </w:r>
      <w:r w:rsidR="001C342A" w:rsidRPr="00E95A2C">
        <w:rPr>
          <w:rFonts w:ascii="Times New Roman" w:eastAsia="Calibri" w:hAnsi="Times New Roman"/>
          <w:sz w:val="22"/>
          <w:szCs w:val="22"/>
        </w:rPr>
        <w:t xml:space="preserve">para: </w:t>
      </w:r>
      <w:r w:rsidR="008D5110" w:rsidRPr="00E95A2C">
        <w:rPr>
          <w:rFonts w:ascii="Times New Roman" w:eastAsia="Calibri" w:hAnsi="Times New Roman"/>
          <w:b/>
          <w:sz w:val="22"/>
          <w:szCs w:val="22"/>
        </w:rPr>
        <w:t>DAR BAIXA</w:t>
      </w:r>
      <w:r w:rsidR="008D5110" w:rsidRPr="00E95A2C">
        <w:rPr>
          <w:rFonts w:ascii="Times New Roman" w:eastAsia="Calibri" w:hAnsi="Times New Roman"/>
          <w:sz w:val="22"/>
          <w:szCs w:val="22"/>
        </w:rPr>
        <w:t xml:space="preserve"> dos valores relativos às anuidades dos exercícios de 2014 (parcialmente)</w:t>
      </w:r>
      <w:r w:rsidR="008D5110" w:rsidRPr="00E95A2C">
        <w:rPr>
          <w:rFonts w:ascii="Times New Roman" w:hAnsi="Times New Roman"/>
          <w:sz w:val="22"/>
          <w:szCs w:val="22"/>
        </w:rPr>
        <w:t>, em razão de</w:t>
      </w:r>
      <w:r w:rsidR="001C342A" w:rsidRPr="00E95A2C">
        <w:rPr>
          <w:rFonts w:ascii="Times New Roman" w:eastAsia="Calibri" w:hAnsi="Times New Roman"/>
          <w:sz w:val="22"/>
          <w:szCs w:val="22"/>
        </w:rPr>
        <w:t xml:space="preserve"> isenção do pagamento d</w:t>
      </w:r>
      <w:r w:rsidR="008D5110" w:rsidRPr="00E95A2C">
        <w:rPr>
          <w:rFonts w:ascii="Times New Roman" w:eastAsia="Calibri" w:hAnsi="Times New Roman"/>
          <w:sz w:val="22"/>
          <w:szCs w:val="22"/>
        </w:rPr>
        <w:t>e</w:t>
      </w:r>
      <w:r w:rsidR="001C342A" w:rsidRPr="00E95A2C">
        <w:rPr>
          <w:rFonts w:ascii="Times New Roman" w:eastAsia="Calibri" w:hAnsi="Times New Roman"/>
          <w:sz w:val="22"/>
          <w:szCs w:val="22"/>
        </w:rPr>
        <w:t xml:space="preserve"> anuidade por tempo de contribuição, conforme o disposto no art. 2º, inciso IV e § 3º, da Resolução nº 61 do CAU/RS; </w:t>
      </w:r>
      <w:r w:rsidR="008D5110" w:rsidRPr="00E95A2C">
        <w:rPr>
          <w:rFonts w:ascii="Times New Roman" w:hAnsi="Times New Roman"/>
          <w:b/>
          <w:sz w:val="22"/>
          <w:szCs w:val="22"/>
        </w:rPr>
        <w:t>MANTER</w:t>
      </w:r>
      <w:r w:rsidR="008D5110" w:rsidRPr="00E95A2C">
        <w:rPr>
          <w:rFonts w:ascii="Times New Roman" w:hAnsi="Times New Roman"/>
          <w:sz w:val="22"/>
          <w:szCs w:val="22"/>
        </w:rPr>
        <w:t xml:space="preserve"> a cobrança dos valores relativos </w:t>
      </w:r>
      <w:r w:rsidR="008D5110" w:rsidRPr="00E95A2C">
        <w:rPr>
          <w:rFonts w:ascii="Times New Roman" w:eastAsia="Calibri" w:hAnsi="Times New Roman"/>
          <w:sz w:val="22"/>
          <w:szCs w:val="22"/>
        </w:rPr>
        <w:t>às anuidades de 2012, 2013 e 2014 (parcialmente)</w:t>
      </w:r>
      <w:r w:rsidR="008D5110" w:rsidRPr="00E95A2C">
        <w:rPr>
          <w:rFonts w:ascii="Times New Roman" w:hAnsi="Times New Roman"/>
          <w:sz w:val="22"/>
          <w:szCs w:val="22"/>
        </w:rPr>
        <w:t xml:space="preserve"> em atraso, com os devidos encargos legais, pois não só o profissional estava devidamente registrado, mas também </w:t>
      </w:r>
      <w:r w:rsidR="008D5110" w:rsidRPr="00E95A2C">
        <w:rPr>
          <w:rFonts w:ascii="Times New Roman" w:eastAsia="Calibri" w:hAnsi="Times New Roman"/>
          <w:sz w:val="22"/>
          <w:szCs w:val="22"/>
        </w:rPr>
        <w:t xml:space="preserve">as enfermidades comprovadas nos autos não encontram guarida no rol de doenças aptas a garantir isenção ao pagamento de tributo, conforme o disposto no art. 2º, inciso VII, da Resolução nº 121 do CAU/BR; </w:t>
      </w:r>
      <w:r w:rsidR="008D5110" w:rsidRPr="00E95A2C">
        <w:rPr>
          <w:rFonts w:ascii="Times New Roman" w:eastAsia="Calibri" w:hAnsi="Times New Roman"/>
          <w:b/>
          <w:sz w:val="22"/>
          <w:szCs w:val="22"/>
        </w:rPr>
        <w:t>CONCEDER</w:t>
      </w:r>
      <w:r w:rsidR="008D5110"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="001C342A" w:rsidRPr="00E95A2C">
        <w:rPr>
          <w:rFonts w:ascii="Times New Roman" w:eastAsia="Calibri" w:hAnsi="Times New Roman"/>
          <w:sz w:val="22"/>
          <w:szCs w:val="22"/>
        </w:rPr>
        <w:t xml:space="preserve">o desconto de 90% (noventa por cento) sobre o valor das anuidades de 2012, 2013 e 2014 (parcialmente), com base no art. 3º, § 3º, da Resolução nº 61 do CAU/BR, tendo em vista que o profissional, na dada de publicação da Lei nº 12.378/2010, contava com </w:t>
      </w:r>
      <w:r w:rsidR="001C342A" w:rsidRPr="00E95A2C">
        <w:rPr>
          <w:rFonts w:ascii="Times New Roman" w:hAnsi="Times New Roman"/>
          <w:sz w:val="22"/>
          <w:szCs w:val="22"/>
        </w:rPr>
        <w:t>35 (trinta e cinco) anos de contribuição ao CREA/RS.</w:t>
      </w:r>
    </w:p>
    <w:p w:rsidR="00465CC0" w:rsidRPr="00E95A2C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 xml:space="preserve">Porto Alegre/RS, </w:t>
      </w:r>
      <w:r w:rsidR="00DE630F" w:rsidRPr="00E95A2C">
        <w:rPr>
          <w:rFonts w:ascii="Times New Roman" w:eastAsia="Calibri" w:hAnsi="Times New Roman"/>
          <w:sz w:val="22"/>
          <w:szCs w:val="22"/>
        </w:rPr>
        <w:t>29 de agosto de 2017.</w:t>
      </w:r>
    </w:p>
    <w:p w:rsidR="00465CC0" w:rsidRPr="00E95A2C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DE630F" w:rsidRPr="00E95A2C" w:rsidRDefault="00DE630F" w:rsidP="008F3578">
      <w:pPr>
        <w:spacing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23672B" w:rsidRPr="00E95A2C" w:rsidRDefault="0023672B" w:rsidP="00DE630F">
      <w:pPr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 xml:space="preserve">Fausto Henrique </w:t>
      </w:r>
      <w:proofErr w:type="spellStart"/>
      <w:r w:rsidRPr="00E95A2C">
        <w:rPr>
          <w:rFonts w:ascii="Times New Roman" w:eastAsia="Calibri" w:hAnsi="Times New Roman"/>
          <w:sz w:val="22"/>
          <w:szCs w:val="22"/>
        </w:rPr>
        <w:t>Steffen</w:t>
      </w:r>
      <w:proofErr w:type="spellEnd"/>
    </w:p>
    <w:p w:rsidR="00B624DE" w:rsidRPr="00E95A2C" w:rsidRDefault="00465CC0" w:rsidP="00DE630F">
      <w:pPr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eastAsia="Calibri" w:hAnsi="Times New Roman"/>
          <w:sz w:val="22"/>
          <w:szCs w:val="22"/>
        </w:rPr>
        <w:t>Conselheiro Relator</w:t>
      </w:r>
      <w:r w:rsidR="00B624DE" w:rsidRPr="00E95A2C">
        <w:rPr>
          <w:rFonts w:ascii="Times New Roman" w:eastAsia="Calibri" w:hAnsi="Times New Roman"/>
          <w:sz w:val="22"/>
          <w:szCs w:val="22"/>
        </w:rPr>
        <w:br w:type="page"/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8"/>
      </w:tblGrid>
      <w:tr w:rsidR="008D5110" w:rsidRPr="00E95A2C" w:rsidTr="00E95A2C">
        <w:trPr>
          <w:trHeight w:hRule="exact" w:val="45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D5110" w:rsidRPr="00E95A2C" w:rsidRDefault="008D5110" w:rsidP="008D51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D5110" w:rsidRPr="00E95A2C" w:rsidRDefault="008D5110" w:rsidP="00DE630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696/2016</w:t>
            </w:r>
          </w:p>
        </w:tc>
      </w:tr>
      <w:tr w:rsidR="00DE630F" w:rsidRPr="00E95A2C" w:rsidTr="00E95A2C">
        <w:trPr>
          <w:trHeight w:hRule="exact" w:val="418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E630F" w:rsidRPr="00E95A2C" w:rsidRDefault="00DE630F" w:rsidP="008D51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E630F" w:rsidRPr="00E95A2C" w:rsidRDefault="00DE630F" w:rsidP="009D636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383/2016</w:t>
            </w:r>
          </w:p>
        </w:tc>
      </w:tr>
      <w:tr w:rsidR="008D5110" w:rsidRPr="00E95A2C" w:rsidTr="00E95A2C">
        <w:trPr>
          <w:trHeight w:hRule="exact" w:val="34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D5110" w:rsidRPr="00E95A2C" w:rsidRDefault="00DE630F" w:rsidP="008D51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D5110" w:rsidRPr="00E95A2C" w:rsidRDefault="008D5110" w:rsidP="008D51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HORACIO PEDRO MEDINA</w:t>
            </w:r>
          </w:p>
        </w:tc>
      </w:tr>
      <w:tr w:rsidR="008D5110" w:rsidRPr="00E95A2C" w:rsidTr="00E95A2C">
        <w:trPr>
          <w:trHeight w:hRule="exact" w:val="34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D5110" w:rsidRPr="00E95A2C" w:rsidRDefault="00DE630F" w:rsidP="008D51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 xml:space="preserve">OBJETO </w:t>
            </w:r>
          </w:p>
        </w:tc>
        <w:tc>
          <w:tcPr>
            <w:tcW w:w="701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D5110" w:rsidRPr="00E95A2C" w:rsidRDefault="00DE630F" w:rsidP="008D51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8D5110" w:rsidRPr="00E95A2C" w:rsidTr="00E95A2C">
        <w:trPr>
          <w:trHeight w:hRule="exact" w:val="42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D5110" w:rsidRPr="00E95A2C" w:rsidRDefault="008D5110" w:rsidP="008D51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D5110" w:rsidRPr="00E95A2C" w:rsidRDefault="008D5110" w:rsidP="008D51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CONSELHEIRO FAUSTO HENRIQUE STEFFEN.</w:t>
            </w:r>
          </w:p>
        </w:tc>
      </w:tr>
      <w:tr w:rsidR="00627846" w:rsidRPr="00E95A2C" w:rsidTr="00E95A2C">
        <w:tblPrEx>
          <w:jc w:val="center"/>
        </w:tblPrEx>
        <w:trPr>
          <w:gridAfter w:val="1"/>
          <w:wAfter w:w="218" w:type="dxa"/>
          <w:trHeight w:hRule="exact" w:val="312"/>
          <w:jc w:val="center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627846" w:rsidRPr="00E95A2C" w:rsidRDefault="00627846" w:rsidP="001B71EC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1B71EC" w:rsidRPr="00E95A2C">
              <w:rPr>
                <w:rFonts w:ascii="Times New Roman" w:hAnsi="Times New Roman"/>
                <w:b/>
                <w:sz w:val="22"/>
                <w:szCs w:val="22"/>
              </w:rPr>
              <w:t xml:space="preserve"> 143</w:t>
            </w: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/2017 – CPF – CAU/RS</w:t>
            </w:r>
          </w:p>
        </w:tc>
      </w:tr>
    </w:tbl>
    <w:p w:rsidR="00DE630F" w:rsidRPr="00E95A2C" w:rsidRDefault="00DE630F" w:rsidP="00DE630F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hAnsi="Times New Roman"/>
          <w:sz w:val="22"/>
          <w:szCs w:val="22"/>
        </w:rPr>
        <w:t xml:space="preserve">A COMISSÃO DE PLANEJAMENTO E FINANÇAS CPF-CAU/RS, reunida ordinariamente em Porto Alegre/RS, na sede do CAU/RS, no dia 29 de agosto de 2017, no uso das competências que lhe conferem o Art. 45 e os incisos V, VI, XII e XIV do art. 46 do Regimento Interno do CAU/RS, a Deliberação CPF-CAU/RS nº 035/2016 e ainda, observando a Deliberação Plenária CAU/RS nº 514/2016, após análise do assunto em epígrafe, </w:t>
      </w:r>
    </w:p>
    <w:p w:rsidR="00174D55" w:rsidRPr="00E95A2C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101307" w:rsidRPr="00E95A2C" w:rsidRDefault="00AE0258" w:rsidP="00E95A2C">
      <w:pPr>
        <w:tabs>
          <w:tab w:val="left" w:pos="1418"/>
          <w:tab w:val="left" w:pos="260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E95A2C">
        <w:rPr>
          <w:rFonts w:ascii="Times New Roman" w:hAnsi="Times New Roman"/>
          <w:b/>
          <w:sz w:val="22"/>
          <w:szCs w:val="22"/>
        </w:rPr>
        <w:t>DELIBEROU:</w:t>
      </w:r>
      <w:r w:rsidR="00E95A2C">
        <w:rPr>
          <w:rFonts w:ascii="Times New Roman" w:hAnsi="Times New Roman"/>
          <w:b/>
          <w:sz w:val="22"/>
          <w:szCs w:val="22"/>
        </w:rPr>
        <w:tab/>
      </w:r>
      <w:r w:rsidR="00E95A2C">
        <w:rPr>
          <w:rFonts w:ascii="Times New Roman" w:hAnsi="Times New Roman"/>
          <w:b/>
          <w:sz w:val="22"/>
          <w:szCs w:val="22"/>
        </w:rPr>
        <w:tab/>
      </w:r>
    </w:p>
    <w:p w:rsidR="00E37C31" w:rsidRPr="00E95A2C" w:rsidRDefault="00101307" w:rsidP="00101307">
      <w:pPr>
        <w:tabs>
          <w:tab w:val="left" w:pos="1418"/>
        </w:tabs>
        <w:spacing w:before="120" w:after="120"/>
        <w:jc w:val="both"/>
        <w:rPr>
          <w:rFonts w:ascii="Times New Roman" w:eastAsia="Calibri" w:hAnsi="Times New Roman"/>
          <w:sz w:val="22"/>
          <w:szCs w:val="22"/>
        </w:rPr>
      </w:pPr>
      <w:r w:rsidRPr="00E95A2C">
        <w:rPr>
          <w:rFonts w:ascii="Times New Roman" w:hAnsi="Times New Roman"/>
          <w:b/>
          <w:sz w:val="22"/>
          <w:szCs w:val="22"/>
        </w:rPr>
        <w:t xml:space="preserve">1 - </w:t>
      </w:r>
      <w:r w:rsidR="00DE630F" w:rsidRPr="00E95A2C">
        <w:rPr>
          <w:rFonts w:ascii="Times New Roman" w:hAnsi="Times New Roman"/>
          <w:b/>
          <w:sz w:val="22"/>
          <w:szCs w:val="22"/>
          <w:u w:val="single"/>
        </w:rPr>
        <w:t>Aprovar</w:t>
      </w:r>
      <w:r w:rsidR="002A4D81" w:rsidRPr="00E95A2C">
        <w:rPr>
          <w:rFonts w:ascii="Times New Roman" w:hAnsi="Times New Roman"/>
          <w:sz w:val="22"/>
          <w:szCs w:val="22"/>
        </w:rPr>
        <w:t>, por unanimidade, o parecer do Conse</w:t>
      </w:r>
      <w:r w:rsidR="004D1B76" w:rsidRPr="00E95A2C">
        <w:rPr>
          <w:rFonts w:ascii="Times New Roman" w:hAnsi="Times New Roman"/>
          <w:sz w:val="22"/>
          <w:szCs w:val="22"/>
        </w:rPr>
        <w:t xml:space="preserve">lheiro Relator, entendendo pela </w:t>
      </w:r>
      <w:r w:rsidRPr="00E95A2C">
        <w:rPr>
          <w:rFonts w:ascii="Times New Roman" w:eastAsia="Calibri" w:hAnsi="Times New Roman"/>
          <w:b/>
          <w:sz w:val="22"/>
          <w:szCs w:val="22"/>
          <w:u w:val="single"/>
        </w:rPr>
        <w:t>parcial procedência</w:t>
      </w:r>
      <w:r w:rsidRPr="00E95A2C">
        <w:rPr>
          <w:rFonts w:ascii="Times New Roman" w:eastAsia="Calibri" w:hAnsi="Times New Roman"/>
          <w:sz w:val="22"/>
          <w:szCs w:val="22"/>
        </w:rPr>
        <w:t xml:space="preserve"> </w:t>
      </w:r>
      <w:r w:rsidR="00E37C31" w:rsidRPr="00E95A2C">
        <w:rPr>
          <w:rFonts w:ascii="Times New Roman" w:eastAsia="Calibri" w:hAnsi="Times New Roman"/>
          <w:sz w:val="22"/>
          <w:szCs w:val="22"/>
        </w:rPr>
        <w:t>da impugnação apresentada pelo profissional</w:t>
      </w:r>
      <w:r w:rsidRPr="00E95A2C">
        <w:rPr>
          <w:rFonts w:ascii="Times New Roman" w:eastAsia="Calibri" w:hAnsi="Times New Roman"/>
          <w:sz w:val="22"/>
          <w:szCs w:val="22"/>
        </w:rPr>
        <w:t>;</w:t>
      </w:r>
    </w:p>
    <w:p w:rsidR="00F316CA" w:rsidRPr="00E95A2C" w:rsidRDefault="00101307" w:rsidP="00F316CA">
      <w:pPr>
        <w:pStyle w:val="PargrafodaLista"/>
        <w:numPr>
          <w:ilvl w:val="0"/>
          <w:numId w:val="22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eastAsia="Calibri" w:hAnsi="Times New Roman"/>
          <w:b/>
          <w:sz w:val="22"/>
          <w:szCs w:val="22"/>
          <w:u w:val="single"/>
        </w:rPr>
        <w:t xml:space="preserve">Dar baixa </w:t>
      </w:r>
      <w:r w:rsidR="008D5110" w:rsidRPr="00E95A2C">
        <w:rPr>
          <w:rFonts w:ascii="Times New Roman" w:eastAsia="Calibri" w:hAnsi="Times New Roman"/>
          <w:sz w:val="22"/>
          <w:szCs w:val="22"/>
        </w:rPr>
        <w:t>dos valores relativos às anuidades dos exercícios de 2014 (parcialmente)</w:t>
      </w:r>
      <w:r w:rsidR="008D5110" w:rsidRPr="00E95A2C">
        <w:rPr>
          <w:rFonts w:ascii="Times New Roman" w:hAnsi="Times New Roman"/>
          <w:sz w:val="22"/>
          <w:szCs w:val="22"/>
        </w:rPr>
        <w:t>, em razão de</w:t>
      </w:r>
      <w:r w:rsidR="008D5110" w:rsidRPr="00E95A2C">
        <w:rPr>
          <w:rFonts w:ascii="Times New Roman" w:eastAsia="Calibri" w:hAnsi="Times New Roman"/>
          <w:sz w:val="22"/>
          <w:szCs w:val="22"/>
        </w:rPr>
        <w:t xml:space="preserve"> isenção do pagamento de anuidade por tempo de contribuição, conforme o disposto no art. 2º, inciso IV e § 3º, da Resolução nº 61 do CAU/RS;</w:t>
      </w:r>
    </w:p>
    <w:p w:rsidR="00F316CA" w:rsidRPr="00E95A2C" w:rsidRDefault="00101307" w:rsidP="00AF5503">
      <w:pPr>
        <w:pStyle w:val="PargrafodaLista"/>
        <w:numPr>
          <w:ilvl w:val="0"/>
          <w:numId w:val="22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hAnsi="Times New Roman"/>
          <w:b/>
          <w:sz w:val="22"/>
          <w:szCs w:val="22"/>
          <w:u w:val="single"/>
        </w:rPr>
        <w:t xml:space="preserve">Manter </w:t>
      </w:r>
      <w:r w:rsidR="008D5110" w:rsidRPr="00E95A2C">
        <w:rPr>
          <w:rFonts w:ascii="Times New Roman" w:hAnsi="Times New Roman"/>
          <w:sz w:val="22"/>
          <w:szCs w:val="22"/>
        </w:rPr>
        <w:t xml:space="preserve">a cobrança dos valores relativos </w:t>
      </w:r>
      <w:r w:rsidR="008D5110" w:rsidRPr="00E95A2C">
        <w:rPr>
          <w:rFonts w:ascii="Times New Roman" w:eastAsia="Calibri" w:hAnsi="Times New Roman"/>
          <w:sz w:val="22"/>
          <w:szCs w:val="22"/>
        </w:rPr>
        <w:t>às anuidades de 2012, 2013 e 2014 (parcialmente)</w:t>
      </w:r>
      <w:r w:rsidR="008D5110" w:rsidRPr="00E95A2C">
        <w:rPr>
          <w:rFonts w:ascii="Times New Roman" w:hAnsi="Times New Roman"/>
          <w:sz w:val="22"/>
          <w:szCs w:val="22"/>
        </w:rPr>
        <w:t xml:space="preserve"> em atraso, com os devidos encargos legais, pois não só o profissional estava devidamente registrado, mas também </w:t>
      </w:r>
      <w:r w:rsidR="008D5110" w:rsidRPr="00E95A2C">
        <w:rPr>
          <w:rFonts w:ascii="Times New Roman" w:eastAsia="Calibri" w:hAnsi="Times New Roman"/>
          <w:sz w:val="22"/>
          <w:szCs w:val="22"/>
        </w:rPr>
        <w:t>as enfermidades comprovadas nos autos não encontram guarida no rol de doenças aptas a garantir isenção ao pagamento de tributo, conforme o disposto no art. 2º, inciso VII</w:t>
      </w:r>
      <w:r w:rsidR="00F316CA" w:rsidRPr="00E95A2C">
        <w:rPr>
          <w:rFonts w:ascii="Times New Roman" w:eastAsia="Calibri" w:hAnsi="Times New Roman"/>
          <w:sz w:val="22"/>
          <w:szCs w:val="22"/>
        </w:rPr>
        <w:t>, da Resolução nº 121 do CAU/BR;</w:t>
      </w:r>
    </w:p>
    <w:p w:rsidR="008D5110" w:rsidRPr="00E95A2C" w:rsidRDefault="00101307" w:rsidP="00AF5503">
      <w:pPr>
        <w:pStyle w:val="PargrafodaLista"/>
        <w:numPr>
          <w:ilvl w:val="0"/>
          <w:numId w:val="22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eastAsia="Calibri" w:hAnsi="Times New Roman"/>
          <w:b/>
          <w:sz w:val="22"/>
          <w:szCs w:val="22"/>
          <w:u w:val="single"/>
        </w:rPr>
        <w:t>Conceder</w:t>
      </w:r>
      <w:r w:rsidR="008D5110" w:rsidRPr="00E95A2C">
        <w:rPr>
          <w:rFonts w:ascii="Times New Roman" w:eastAsia="Calibri" w:hAnsi="Times New Roman"/>
          <w:sz w:val="22"/>
          <w:szCs w:val="22"/>
        </w:rPr>
        <w:t xml:space="preserve"> o desconto de 90% (noventa por cento) sobre o valor das anuidades de 2012, 2013 e 2014 (parcialmente), com base no art. 3º, § 3º, da Resolução nº 61 do CAU/BR, tendo em vista que o profissional, na dada de publicação da Lei nº 12.378/2010, contava com </w:t>
      </w:r>
      <w:r w:rsidR="008D5110" w:rsidRPr="00E95A2C">
        <w:rPr>
          <w:rFonts w:ascii="Times New Roman" w:hAnsi="Times New Roman"/>
          <w:sz w:val="22"/>
          <w:szCs w:val="22"/>
        </w:rPr>
        <w:t>35 (trinta e cinco) anos de contribuição ao CREA/RS.</w:t>
      </w:r>
    </w:p>
    <w:p w:rsidR="00101307" w:rsidRPr="00E95A2C" w:rsidRDefault="00101307" w:rsidP="00101307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hAnsi="Times New Roman"/>
          <w:b/>
          <w:sz w:val="22"/>
          <w:szCs w:val="22"/>
        </w:rPr>
        <w:t xml:space="preserve">2 - </w:t>
      </w:r>
      <w:r w:rsidRPr="00E95A2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8D5110" w:rsidRPr="00E95A2C">
        <w:rPr>
          <w:rFonts w:ascii="Times New Roman" w:hAnsi="Times New Roman"/>
          <w:sz w:val="22"/>
          <w:szCs w:val="22"/>
        </w:rPr>
        <w:t xml:space="preserve"> o processo à Gerência Financeira do CAU/RS para</w:t>
      </w:r>
      <w:r w:rsidRPr="00E95A2C">
        <w:rPr>
          <w:rFonts w:ascii="Times New Roman" w:hAnsi="Times New Roman"/>
          <w:sz w:val="22"/>
          <w:szCs w:val="22"/>
        </w:rPr>
        <w:t>:</w:t>
      </w:r>
    </w:p>
    <w:p w:rsidR="00101307" w:rsidRPr="00E95A2C" w:rsidRDefault="00101307" w:rsidP="00101307">
      <w:pPr>
        <w:pStyle w:val="PargrafodaLista"/>
        <w:numPr>
          <w:ilvl w:val="0"/>
          <w:numId w:val="25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hAnsi="Times New Roman"/>
          <w:b/>
          <w:sz w:val="22"/>
          <w:szCs w:val="22"/>
          <w:u w:val="single"/>
        </w:rPr>
        <w:t>C</w:t>
      </w:r>
      <w:r w:rsidR="008D5110" w:rsidRPr="00E95A2C">
        <w:rPr>
          <w:rFonts w:ascii="Times New Roman" w:hAnsi="Times New Roman"/>
          <w:b/>
          <w:sz w:val="22"/>
          <w:szCs w:val="22"/>
          <w:u w:val="single"/>
        </w:rPr>
        <w:t>orreção e atualização</w:t>
      </w:r>
      <w:r w:rsidR="008D5110" w:rsidRPr="00E95A2C">
        <w:rPr>
          <w:rFonts w:ascii="Times New Roman" w:hAnsi="Times New Roman"/>
          <w:sz w:val="22"/>
          <w:szCs w:val="22"/>
        </w:rPr>
        <w:t xml:space="preserve"> dos valores cobrados;</w:t>
      </w:r>
    </w:p>
    <w:p w:rsidR="00101307" w:rsidRPr="00E95A2C" w:rsidRDefault="00101307" w:rsidP="00101307">
      <w:pPr>
        <w:pStyle w:val="PargrafodaLista"/>
        <w:numPr>
          <w:ilvl w:val="0"/>
          <w:numId w:val="25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hAnsi="Times New Roman"/>
          <w:b/>
          <w:sz w:val="22"/>
          <w:szCs w:val="22"/>
          <w:u w:val="single"/>
        </w:rPr>
        <w:t>Informar</w:t>
      </w:r>
      <w:r w:rsidR="00E37C31" w:rsidRPr="00E95A2C">
        <w:rPr>
          <w:rFonts w:ascii="Times New Roman" w:hAnsi="Times New Roman"/>
          <w:sz w:val="22"/>
          <w:szCs w:val="22"/>
        </w:rPr>
        <w:t xml:space="preserve"> o profissional </w:t>
      </w:r>
      <w:r w:rsidR="00CC4FF0" w:rsidRPr="00E95A2C">
        <w:rPr>
          <w:rFonts w:ascii="Times New Roman" w:hAnsi="Times New Roman"/>
          <w:sz w:val="22"/>
          <w:szCs w:val="22"/>
        </w:rPr>
        <w:t xml:space="preserve">que a interrupção do registro deverá ser solicitada por meio de </w:t>
      </w:r>
      <w:r w:rsidR="000740AD" w:rsidRPr="00E95A2C">
        <w:rPr>
          <w:rFonts w:ascii="Times New Roman" w:hAnsi="Times New Roman"/>
          <w:sz w:val="22"/>
          <w:szCs w:val="22"/>
        </w:rPr>
        <w:t>formulário próprio no SICCAU;</w:t>
      </w:r>
    </w:p>
    <w:p w:rsidR="00101307" w:rsidRPr="00E95A2C" w:rsidRDefault="00101307" w:rsidP="00101307">
      <w:pPr>
        <w:pStyle w:val="PargrafodaLista"/>
        <w:numPr>
          <w:ilvl w:val="0"/>
          <w:numId w:val="25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hAnsi="Times New Roman"/>
          <w:b/>
          <w:sz w:val="22"/>
          <w:szCs w:val="22"/>
          <w:u w:val="single"/>
        </w:rPr>
        <w:t>Notificar</w:t>
      </w:r>
      <w:r w:rsidR="000740AD" w:rsidRPr="00E95A2C">
        <w:rPr>
          <w:rFonts w:ascii="Times New Roman" w:hAnsi="Times New Roman"/>
          <w:sz w:val="22"/>
          <w:szCs w:val="22"/>
        </w:rPr>
        <w:t xml:space="preserve"> a Defensoria Pública da União do teor dessa decisão</w:t>
      </w:r>
      <w:r w:rsidR="00926EF2" w:rsidRPr="00E95A2C">
        <w:rPr>
          <w:rFonts w:ascii="Times New Roman" w:hAnsi="Times New Roman"/>
          <w:sz w:val="22"/>
          <w:szCs w:val="22"/>
        </w:rPr>
        <w:t>, em resposta Ofício nº 477/2017 – DPURS;</w:t>
      </w:r>
    </w:p>
    <w:p w:rsidR="00CC4FF0" w:rsidRDefault="00101307" w:rsidP="00101307">
      <w:pPr>
        <w:pStyle w:val="PargrafodaLista"/>
        <w:numPr>
          <w:ilvl w:val="0"/>
          <w:numId w:val="25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hAnsi="Times New Roman"/>
          <w:b/>
          <w:sz w:val="22"/>
          <w:szCs w:val="22"/>
          <w:u w:val="single"/>
        </w:rPr>
        <w:t>Notificar</w:t>
      </w:r>
      <w:r w:rsidR="00E37C31" w:rsidRPr="00E95A2C">
        <w:rPr>
          <w:rFonts w:ascii="Times New Roman" w:hAnsi="Times New Roman"/>
          <w:sz w:val="22"/>
          <w:szCs w:val="22"/>
        </w:rPr>
        <w:t xml:space="preserve"> o profissional</w:t>
      </w:r>
      <w:r w:rsidR="00CC4FF0" w:rsidRPr="00E95A2C">
        <w:rPr>
          <w:rFonts w:ascii="Times New Roman" w:hAnsi="Times New Roman"/>
          <w:sz w:val="22"/>
          <w:szCs w:val="22"/>
        </w:rPr>
        <w:t xml:space="preserve"> do teor dessa decisão a, no prazo de 30 (trinta) dias, saldar ou parcelar o débito devidamente atualizado, relativo às anuidades de 201</w:t>
      </w:r>
      <w:r w:rsidR="001D1939" w:rsidRPr="00E95A2C">
        <w:rPr>
          <w:rFonts w:ascii="Times New Roman" w:hAnsi="Times New Roman"/>
          <w:sz w:val="22"/>
          <w:szCs w:val="22"/>
        </w:rPr>
        <w:t>2</w:t>
      </w:r>
      <w:r w:rsidR="00CC4FF0" w:rsidRPr="00E95A2C">
        <w:rPr>
          <w:rFonts w:ascii="Times New Roman" w:hAnsi="Times New Roman"/>
          <w:sz w:val="22"/>
          <w:szCs w:val="22"/>
        </w:rPr>
        <w:t xml:space="preserve"> e 201</w:t>
      </w:r>
      <w:r w:rsidR="001D1939" w:rsidRPr="00E95A2C">
        <w:rPr>
          <w:rFonts w:ascii="Times New Roman" w:hAnsi="Times New Roman"/>
          <w:sz w:val="22"/>
          <w:szCs w:val="22"/>
        </w:rPr>
        <w:t>3</w:t>
      </w:r>
      <w:r w:rsidR="00CC4FF0" w:rsidRPr="00E95A2C">
        <w:rPr>
          <w:rFonts w:ascii="Times New Roman" w:hAnsi="Times New Roman"/>
          <w:sz w:val="22"/>
          <w:szCs w:val="22"/>
        </w:rPr>
        <w:t xml:space="preserve"> em atraso perante esse Conselho, ou interpor recurso po</w:t>
      </w:r>
      <w:r w:rsidR="000740AD" w:rsidRPr="00E95A2C">
        <w:rPr>
          <w:rFonts w:ascii="Times New Roman" w:hAnsi="Times New Roman"/>
          <w:sz w:val="22"/>
          <w:szCs w:val="22"/>
        </w:rPr>
        <w:t>r escrito ao Plenário do CAU/RS;</w:t>
      </w:r>
    </w:p>
    <w:p w:rsidR="00E95A2C" w:rsidRDefault="00E95A2C" w:rsidP="00E95A2C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E95A2C" w:rsidRDefault="00E95A2C" w:rsidP="00E95A2C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E95A2C" w:rsidRPr="00E95A2C" w:rsidRDefault="00E95A2C" w:rsidP="00E95A2C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101307" w:rsidRPr="00E95A2C" w:rsidRDefault="00101307" w:rsidP="00CC4FF0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hAnsi="Times New Roman"/>
          <w:b/>
          <w:sz w:val="22"/>
          <w:szCs w:val="22"/>
        </w:rPr>
        <w:lastRenderedPageBreak/>
        <w:t>6</w:t>
      </w:r>
      <w:r w:rsidRPr="00E95A2C">
        <w:rPr>
          <w:rFonts w:ascii="Times New Roman" w:hAnsi="Times New Roman"/>
          <w:sz w:val="22"/>
          <w:szCs w:val="22"/>
        </w:rPr>
        <w:t xml:space="preserve"> - </w:t>
      </w:r>
      <w:r w:rsidRPr="00E95A2C">
        <w:rPr>
          <w:rFonts w:ascii="Times New Roman" w:hAnsi="Times New Roman"/>
          <w:b/>
          <w:sz w:val="22"/>
          <w:szCs w:val="22"/>
          <w:u w:val="single"/>
        </w:rPr>
        <w:t xml:space="preserve">Encaminhar </w:t>
      </w:r>
      <w:r w:rsidR="00CC4FF0" w:rsidRPr="00E95A2C">
        <w:rPr>
          <w:rFonts w:ascii="Times New Roman" w:hAnsi="Times New Roman"/>
          <w:sz w:val="22"/>
          <w:szCs w:val="22"/>
        </w:rPr>
        <w:t>à Gerência Jurídica do CAU/RS para parecer em caso de interposição d</w:t>
      </w:r>
      <w:r w:rsidR="000740AD" w:rsidRPr="00E95A2C">
        <w:rPr>
          <w:rFonts w:ascii="Times New Roman" w:hAnsi="Times New Roman"/>
          <w:sz w:val="22"/>
          <w:szCs w:val="22"/>
        </w:rPr>
        <w:t>e recurso ao Plenário do CAU/RS;</w:t>
      </w:r>
    </w:p>
    <w:p w:rsidR="00CC4FF0" w:rsidRPr="00E95A2C" w:rsidRDefault="00101307" w:rsidP="00CC4FF0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95A2C">
        <w:rPr>
          <w:rFonts w:ascii="Times New Roman" w:hAnsi="Times New Roman"/>
          <w:b/>
          <w:sz w:val="22"/>
          <w:szCs w:val="22"/>
        </w:rPr>
        <w:t>7</w:t>
      </w:r>
      <w:r w:rsidRPr="00E95A2C">
        <w:rPr>
          <w:rFonts w:ascii="Times New Roman" w:hAnsi="Times New Roman"/>
          <w:sz w:val="22"/>
          <w:szCs w:val="22"/>
        </w:rPr>
        <w:t xml:space="preserve"> – </w:t>
      </w:r>
      <w:r w:rsidRPr="00E95A2C">
        <w:rPr>
          <w:rFonts w:ascii="Times New Roman" w:hAnsi="Times New Roman"/>
          <w:b/>
          <w:sz w:val="22"/>
          <w:szCs w:val="22"/>
          <w:u w:val="single"/>
        </w:rPr>
        <w:t xml:space="preserve">Submeter </w:t>
      </w:r>
      <w:r w:rsidR="00CC4FF0" w:rsidRPr="00E95A2C">
        <w:rPr>
          <w:rFonts w:ascii="Times New Roman" w:hAnsi="Times New Roman"/>
          <w:sz w:val="22"/>
          <w:szCs w:val="22"/>
        </w:rPr>
        <w:t>ao Plenário do CAU/RS para julgamento ou homologação.</w:t>
      </w:r>
    </w:p>
    <w:p w:rsidR="00CC4FF0" w:rsidRPr="00E95A2C" w:rsidRDefault="00CC4FF0" w:rsidP="000458AD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E0258" w:rsidRPr="00E95A2C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95A2C">
        <w:rPr>
          <w:rFonts w:ascii="Times New Roman" w:hAnsi="Times New Roman"/>
          <w:sz w:val="22"/>
          <w:szCs w:val="22"/>
        </w:rPr>
        <w:t xml:space="preserve">Porto Alegre, </w:t>
      </w:r>
      <w:r w:rsidR="00DE630F" w:rsidRPr="00E95A2C">
        <w:rPr>
          <w:rFonts w:ascii="Times New Roman" w:hAnsi="Times New Roman"/>
          <w:sz w:val="22"/>
          <w:szCs w:val="22"/>
        </w:rPr>
        <w:t xml:space="preserve">29 de agosto </w:t>
      </w:r>
      <w:r w:rsidR="00921EF7" w:rsidRPr="00E95A2C">
        <w:rPr>
          <w:rFonts w:ascii="Times New Roman" w:hAnsi="Times New Roman"/>
          <w:sz w:val="22"/>
          <w:szCs w:val="22"/>
        </w:rPr>
        <w:t>de 2017</w:t>
      </w:r>
      <w:r w:rsidRPr="00E95A2C">
        <w:rPr>
          <w:rFonts w:ascii="Times New Roman" w:hAnsi="Times New Roman"/>
          <w:sz w:val="22"/>
          <w:szCs w:val="22"/>
        </w:rPr>
        <w:t>.</w:t>
      </w:r>
    </w:p>
    <w:p w:rsidR="00A56089" w:rsidRPr="00E95A2C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vertAnchor="text" w:horzAnchor="margin" w:tblpY="605"/>
        <w:tblW w:w="5158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DE630F" w:rsidRPr="00E95A2C" w:rsidTr="00D216CA">
        <w:trPr>
          <w:trHeight w:val="175"/>
        </w:trPr>
        <w:tc>
          <w:tcPr>
            <w:tcW w:w="2479" w:type="pct"/>
            <w:shd w:val="clear" w:color="auto" w:fill="auto"/>
          </w:tcPr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E630F" w:rsidRPr="00E95A2C" w:rsidTr="00D216CA">
        <w:trPr>
          <w:trHeight w:val="181"/>
        </w:trPr>
        <w:tc>
          <w:tcPr>
            <w:tcW w:w="2479" w:type="pct"/>
            <w:shd w:val="clear" w:color="auto" w:fill="auto"/>
          </w:tcPr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E630F" w:rsidRPr="00E95A2C" w:rsidTr="00D216CA">
        <w:trPr>
          <w:trHeight w:val="181"/>
        </w:trPr>
        <w:tc>
          <w:tcPr>
            <w:tcW w:w="2479" w:type="pct"/>
            <w:shd w:val="clear" w:color="auto" w:fill="auto"/>
          </w:tcPr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E630F" w:rsidRPr="00E95A2C" w:rsidTr="00D216CA">
        <w:trPr>
          <w:trHeight w:val="175"/>
        </w:trPr>
        <w:tc>
          <w:tcPr>
            <w:tcW w:w="2479" w:type="pct"/>
            <w:shd w:val="clear" w:color="auto" w:fill="auto"/>
          </w:tcPr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E630F" w:rsidRPr="00E95A2C" w:rsidTr="00D216CA">
        <w:trPr>
          <w:trHeight w:val="181"/>
        </w:trPr>
        <w:tc>
          <w:tcPr>
            <w:tcW w:w="2479" w:type="pct"/>
            <w:shd w:val="clear" w:color="auto" w:fill="auto"/>
          </w:tcPr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E630F" w:rsidRPr="00E95A2C" w:rsidTr="00D216CA">
        <w:trPr>
          <w:trHeight w:val="181"/>
        </w:trPr>
        <w:tc>
          <w:tcPr>
            <w:tcW w:w="2479" w:type="pct"/>
            <w:shd w:val="clear" w:color="auto" w:fill="auto"/>
          </w:tcPr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E95A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DE630F" w:rsidRPr="00E95A2C" w:rsidRDefault="00DE630F" w:rsidP="00DE63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95A2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E95A2C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E95A2C" w:rsidSect="00E95A2C"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6C" w:rsidRDefault="001E2E6C">
      <w:r>
        <w:separator/>
      </w:r>
    </w:p>
  </w:endnote>
  <w:endnote w:type="continuationSeparator" w:id="0">
    <w:p w:rsidR="001E2E6C" w:rsidRDefault="001E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6C" w:rsidRDefault="001E2E6C">
      <w:r>
        <w:separator/>
      </w:r>
    </w:p>
  </w:footnote>
  <w:footnote w:type="continuationSeparator" w:id="0">
    <w:p w:rsidR="001E2E6C" w:rsidRDefault="001E2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1" name="Imagem 3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2" name="Imagem 3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33" name="Imagem 3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247E3558"/>
    <w:multiLevelType w:val="hybridMultilevel"/>
    <w:tmpl w:val="239EE48A"/>
    <w:lvl w:ilvl="0" w:tplc="463A9B0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A2F8C"/>
    <w:multiLevelType w:val="hybridMultilevel"/>
    <w:tmpl w:val="070CA9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63312"/>
    <w:multiLevelType w:val="hybridMultilevel"/>
    <w:tmpl w:val="06F2C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C5FDF"/>
    <w:multiLevelType w:val="hybridMultilevel"/>
    <w:tmpl w:val="2C10BA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10"/>
  </w:num>
  <w:num w:numId="7">
    <w:abstractNumId w:val="24"/>
  </w:num>
  <w:num w:numId="8">
    <w:abstractNumId w:val="16"/>
  </w:num>
  <w:num w:numId="9">
    <w:abstractNumId w:val="11"/>
  </w:num>
  <w:num w:numId="10">
    <w:abstractNumId w:val="9"/>
  </w:num>
  <w:num w:numId="11">
    <w:abstractNumId w:val="17"/>
  </w:num>
  <w:num w:numId="12">
    <w:abstractNumId w:val="23"/>
  </w:num>
  <w:num w:numId="13">
    <w:abstractNumId w:val="5"/>
  </w:num>
  <w:num w:numId="14">
    <w:abstractNumId w:val="20"/>
  </w:num>
  <w:num w:numId="15">
    <w:abstractNumId w:val="3"/>
  </w:num>
  <w:num w:numId="16">
    <w:abstractNumId w:val="18"/>
  </w:num>
  <w:num w:numId="17">
    <w:abstractNumId w:val="2"/>
  </w:num>
  <w:num w:numId="18">
    <w:abstractNumId w:val="8"/>
  </w:num>
  <w:num w:numId="19">
    <w:abstractNumId w:val="19"/>
  </w:num>
  <w:num w:numId="20">
    <w:abstractNumId w:val="21"/>
  </w:num>
  <w:num w:numId="21">
    <w:abstractNumId w:val="13"/>
  </w:num>
  <w:num w:numId="22">
    <w:abstractNumId w:val="6"/>
  </w:num>
  <w:num w:numId="23">
    <w:abstractNumId w:val="15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0AD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2553"/>
    <w:rsid w:val="000B3250"/>
    <w:rsid w:val="000B5769"/>
    <w:rsid w:val="000D2C40"/>
    <w:rsid w:val="000E28C9"/>
    <w:rsid w:val="000E71D0"/>
    <w:rsid w:val="000F0649"/>
    <w:rsid w:val="00101307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77E6A"/>
    <w:rsid w:val="00180166"/>
    <w:rsid w:val="001820E5"/>
    <w:rsid w:val="00183A48"/>
    <w:rsid w:val="00183E3A"/>
    <w:rsid w:val="00186526"/>
    <w:rsid w:val="0018655C"/>
    <w:rsid w:val="0019362F"/>
    <w:rsid w:val="00193EE5"/>
    <w:rsid w:val="001A0563"/>
    <w:rsid w:val="001A3726"/>
    <w:rsid w:val="001B5217"/>
    <w:rsid w:val="001B71EC"/>
    <w:rsid w:val="001C342A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72B"/>
    <w:rsid w:val="00244EF0"/>
    <w:rsid w:val="002536F2"/>
    <w:rsid w:val="00254069"/>
    <w:rsid w:val="00254F9E"/>
    <w:rsid w:val="00262588"/>
    <w:rsid w:val="00262BE0"/>
    <w:rsid w:val="00271145"/>
    <w:rsid w:val="002725B1"/>
    <w:rsid w:val="002735A9"/>
    <w:rsid w:val="00274E12"/>
    <w:rsid w:val="00276BE5"/>
    <w:rsid w:val="00277A55"/>
    <w:rsid w:val="00282A3A"/>
    <w:rsid w:val="00292EEE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64C7"/>
    <w:rsid w:val="003F0B6D"/>
    <w:rsid w:val="003F0B7F"/>
    <w:rsid w:val="003F3074"/>
    <w:rsid w:val="003F5F95"/>
    <w:rsid w:val="0040004C"/>
    <w:rsid w:val="00403559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7E4"/>
    <w:rsid w:val="004651A4"/>
    <w:rsid w:val="00465CC0"/>
    <w:rsid w:val="00470F15"/>
    <w:rsid w:val="00480E50"/>
    <w:rsid w:val="00482449"/>
    <w:rsid w:val="00493551"/>
    <w:rsid w:val="00493C92"/>
    <w:rsid w:val="004A023D"/>
    <w:rsid w:val="004A0AAF"/>
    <w:rsid w:val="004A17D7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1B76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21EDA"/>
    <w:rsid w:val="0052285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4649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17B06"/>
    <w:rsid w:val="0082354B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110"/>
    <w:rsid w:val="008D5241"/>
    <w:rsid w:val="008D7D1C"/>
    <w:rsid w:val="008E0431"/>
    <w:rsid w:val="008E05C0"/>
    <w:rsid w:val="008E20BE"/>
    <w:rsid w:val="008E431E"/>
    <w:rsid w:val="008E7483"/>
    <w:rsid w:val="008F4465"/>
    <w:rsid w:val="008F4FDD"/>
    <w:rsid w:val="009025A2"/>
    <w:rsid w:val="009154B0"/>
    <w:rsid w:val="00917BB6"/>
    <w:rsid w:val="00921EF7"/>
    <w:rsid w:val="0092286C"/>
    <w:rsid w:val="00926EF2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636A"/>
    <w:rsid w:val="009D6627"/>
    <w:rsid w:val="009D7C10"/>
    <w:rsid w:val="009E59D4"/>
    <w:rsid w:val="009E608B"/>
    <w:rsid w:val="009E695C"/>
    <w:rsid w:val="009F30C0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6089"/>
    <w:rsid w:val="00A652E4"/>
    <w:rsid w:val="00A81B82"/>
    <w:rsid w:val="00A862C3"/>
    <w:rsid w:val="00A87700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2E23"/>
    <w:rsid w:val="00B031B3"/>
    <w:rsid w:val="00B03A56"/>
    <w:rsid w:val="00B04599"/>
    <w:rsid w:val="00B12D4E"/>
    <w:rsid w:val="00B13BEC"/>
    <w:rsid w:val="00B145AF"/>
    <w:rsid w:val="00B145B0"/>
    <w:rsid w:val="00B15C4C"/>
    <w:rsid w:val="00B204AE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096F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1061"/>
    <w:rsid w:val="00C32B3C"/>
    <w:rsid w:val="00C35A43"/>
    <w:rsid w:val="00C365B6"/>
    <w:rsid w:val="00C44812"/>
    <w:rsid w:val="00C44BE2"/>
    <w:rsid w:val="00C50D27"/>
    <w:rsid w:val="00C54753"/>
    <w:rsid w:val="00C55B31"/>
    <w:rsid w:val="00C60C82"/>
    <w:rsid w:val="00C62783"/>
    <w:rsid w:val="00C63FBF"/>
    <w:rsid w:val="00C74326"/>
    <w:rsid w:val="00C74E47"/>
    <w:rsid w:val="00C75E1D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1D47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E630F"/>
    <w:rsid w:val="00DF25D9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5530"/>
    <w:rsid w:val="00E56391"/>
    <w:rsid w:val="00E624F3"/>
    <w:rsid w:val="00E644D8"/>
    <w:rsid w:val="00E71592"/>
    <w:rsid w:val="00E7292D"/>
    <w:rsid w:val="00E75393"/>
    <w:rsid w:val="00E770C2"/>
    <w:rsid w:val="00E80190"/>
    <w:rsid w:val="00E8550E"/>
    <w:rsid w:val="00E87128"/>
    <w:rsid w:val="00E87280"/>
    <w:rsid w:val="00E90912"/>
    <w:rsid w:val="00E93404"/>
    <w:rsid w:val="00E95A2C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303FE"/>
    <w:rsid w:val="00F316CA"/>
    <w:rsid w:val="00F455A6"/>
    <w:rsid w:val="00F45936"/>
    <w:rsid w:val="00F4730B"/>
    <w:rsid w:val="00F5195D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16C4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5:docId w15:val="{15D229E4-1C31-4D92-83C2-D5E55647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semiHidden/>
    <w:unhideWhenUsed/>
    <w:rsid w:val="00183E3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83E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83E3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83E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83E3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26C0FB85643978DD35751401B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FCCE-E39B-4B69-85C0-DFA08A742878}"/>
      </w:docPartPr>
      <w:docPartBody>
        <w:p w:rsidR="00695173" w:rsidRDefault="006466B3">
          <w:pPr>
            <w:pStyle w:val="21E26C0FB85643978DD35751401B9A80"/>
          </w:pPr>
          <w:r w:rsidRPr="00360913">
            <w:rPr>
              <w:rStyle w:val="TextodoEspaoReservado"/>
            </w:rPr>
            <w:t>[Resumo]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3"/>
    <w:rsid w:val="000B002B"/>
    <w:rsid w:val="002575D8"/>
    <w:rsid w:val="003C7DBC"/>
    <w:rsid w:val="005A7F9D"/>
    <w:rsid w:val="00615219"/>
    <w:rsid w:val="00626DEA"/>
    <w:rsid w:val="006466B3"/>
    <w:rsid w:val="0069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26DEA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  <w:style w:type="paragraph" w:customStyle="1" w:styleId="6D234865AC5B4E6A8EC5D2496EAF7A51">
    <w:name w:val="6D234865AC5B4E6A8EC5D2496EAF7A51"/>
    <w:rsid w:val="002575D8"/>
    <w:pPr>
      <w:spacing w:after="160" w:line="259" w:lineRule="auto"/>
    </w:pPr>
  </w:style>
  <w:style w:type="paragraph" w:customStyle="1" w:styleId="7B83FCF673EB4FFC88C2B24C1CC8DADE">
    <w:name w:val="7B83FCF673EB4FFC88C2B24C1CC8DADE"/>
    <w:rsid w:val="002575D8"/>
    <w:pPr>
      <w:spacing w:after="160" w:line="259" w:lineRule="auto"/>
    </w:pPr>
  </w:style>
  <w:style w:type="paragraph" w:customStyle="1" w:styleId="35C70945968B428B8712BB47B3CC2E87">
    <w:name w:val="35C70945968B428B8712BB47B3CC2E87"/>
    <w:rsid w:val="002575D8"/>
    <w:pPr>
      <w:spacing w:after="160" w:line="259" w:lineRule="auto"/>
    </w:pPr>
  </w:style>
  <w:style w:type="paragraph" w:customStyle="1" w:styleId="AB75DF180B0A462383530DCAD0C1EF33">
    <w:name w:val="AB75DF180B0A462383530DCAD0C1EF33"/>
    <w:rsid w:val="002575D8"/>
    <w:pPr>
      <w:spacing w:after="160" w:line="259" w:lineRule="auto"/>
    </w:pPr>
  </w:style>
  <w:style w:type="paragraph" w:customStyle="1" w:styleId="F265596A3DD041B48C20D905B840DCDD">
    <w:name w:val="F265596A3DD041B48C20D905B840DCDD"/>
    <w:rsid w:val="002575D8"/>
    <w:pPr>
      <w:spacing w:after="160" w:line="259" w:lineRule="auto"/>
    </w:pPr>
  </w:style>
  <w:style w:type="paragraph" w:customStyle="1" w:styleId="80A02E2DCE7E455D87E2A7C1820C4D31">
    <w:name w:val="80A02E2DCE7E455D87E2A7C1820C4D31"/>
    <w:rsid w:val="002575D8"/>
    <w:pPr>
      <w:spacing w:after="160" w:line="259" w:lineRule="auto"/>
    </w:pPr>
  </w:style>
  <w:style w:type="paragraph" w:customStyle="1" w:styleId="F594FF3435E140D0B339F1F5308A0A3C">
    <w:name w:val="F594FF3435E140D0B339F1F5308A0A3C"/>
    <w:rsid w:val="002575D8"/>
    <w:pPr>
      <w:spacing w:after="160" w:line="259" w:lineRule="auto"/>
    </w:pPr>
  </w:style>
  <w:style w:type="paragraph" w:customStyle="1" w:styleId="E21D55B1710C4CC6B0D0812AA0A9A4BC">
    <w:name w:val="E21D55B1710C4CC6B0D0812AA0A9A4BC"/>
    <w:rsid w:val="000B002B"/>
    <w:pPr>
      <w:spacing w:after="160" w:line="259" w:lineRule="auto"/>
    </w:pPr>
  </w:style>
  <w:style w:type="paragraph" w:customStyle="1" w:styleId="800D1478A24E4D91AFA222455318507E">
    <w:name w:val="800D1478A24E4D91AFA222455318507E"/>
    <w:rsid w:val="000B002B"/>
    <w:pPr>
      <w:spacing w:after="160" w:line="259" w:lineRule="auto"/>
    </w:pPr>
  </w:style>
  <w:style w:type="paragraph" w:customStyle="1" w:styleId="584646F6D28C472CB65B5131CCC097E7">
    <w:name w:val="584646F6D28C472CB65B5131CCC097E7"/>
    <w:rsid w:val="000B002B"/>
    <w:pPr>
      <w:spacing w:after="160" w:line="259" w:lineRule="auto"/>
    </w:pPr>
  </w:style>
  <w:style w:type="paragraph" w:customStyle="1" w:styleId="BF58D0B0C9ED498C947BCC6DA56224EE">
    <w:name w:val="BF58D0B0C9ED498C947BCC6DA56224EE"/>
    <w:rsid w:val="00626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383/2016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7069FE-DF43-419D-949A-D628A737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8</TotalTime>
  <Pages>6</Pages>
  <Words>2105</Words>
  <Characters>11464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Carla Regina Dal Lago Valério</cp:lastModifiedBy>
  <cp:revision>6</cp:revision>
  <cp:lastPrinted>2016-07-02T15:27:00Z</cp:lastPrinted>
  <dcterms:created xsi:type="dcterms:W3CDTF">2017-08-29T14:04:00Z</dcterms:created>
  <dcterms:modified xsi:type="dcterms:W3CDTF">2017-08-29T19:45:00Z</dcterms:modified>
  <cp:contentStatus>2012, 2013, 2014, 2015 e 2016</cp:contentStatus>
</cp:coreProperties>
</file>