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F22DB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B14BF0EBA58448068216C32492E8CD19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22DB2">
                  <w:rPr>
                    <w:rFonts w:ascii="Times New Roman" w:hAnsi="Times New Roman"/>
                    <w:sz w:val="20"/>
                    <w:szCs w:val="20"/>
                  </w:rPr>
                  <w:t>630/2016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2062C73989474817A6A7BB00856387FC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22DB2">
                  <w:rPr>
                    <w:rFonts w:ascii="Times New Roman" w:hAnsi="Times New Roman"/>
                    <w:sz w:val="20"/>
                    <w:szCs w:val="20"/>
                  </w:rPr>
                  <w:t>328/2016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37310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9C0F4F79B8D544FEB9CF7B143D8FB583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73102">
                  <w:rPr>
                    <w:rFonts w:ascii="Times New Roman" w:hAnsi="Times New Roman"/>
                    <w:sz w:val="20"/>
                    <w:szCs w:val="20"/>
                  </w:rPr>
                  <w:t xml:space="preserve">Juçara </w:t>
                </w:r>
                <w:proofErr w:type="spellStart"/>
                <w:r w:rsidR="00373102">
                  <w:rPr>
                    <w:rFonts w:ascii="Times New Roman" w:hAnsi="Times New Roman"/>
                    <w:sz w:val="20"/>
                    <w:szCs w:val="20"/>
                  </w:rPr>
                  <w:t>Tedesco</w:t>
                </w:r>
                <w:proofErr w:type="spellEnd"/>
                <w:r w:rsidR="00373102">
                  <w:rPr>
                    <w:rFonts w:ascii="Times New Roman" w:hAnsi="Times New Roman"/>
                    <w:sz w:val="20"/>
                    <w:szCs w:val="20"/>
                  </w:rPr>
                  <w:t xml:space="preserve"> Barcelos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717667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F15DC3EDA66D4590A44F386D7538D9A7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22DB2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717667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-715505557"/>
                <w:placeholder>
                  <w:docPart w:val="1803C8D96AD6408CAB4F3ED0399F6A68"/>
                </w:placeholder>
                <w:text/>
              </w:sdtPr>
              <w:sdtEndPr/>
              <w:sdtContent>
                <w:r w:rsidR="00641960">
                  <w:rPr>
                    <w:rFonts w:ascii="Times New Roman" w:hAnsi="Times New Roman"/>
                    <w:sz w:val="20"/>
                    <w:szCs w:val="20"/>
                  </w:rPr>
                  <w:t>o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8A83A5C8A8534073822F491094CC40C1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17667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717667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717667">
                  <w:rPr>
                    <w:rFonts w:ascii="Times New Roman" w:hAnsi="Times New Roman"/>
                    <w:sz w:val="20"/>
                    <w:szCs w:val="20"/>
                  </w:rPr>
                  <w:t xml:space="preserve"> Giralt</w:t>
                </w:r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 xml:space="preserve">m </w:t>
      </w:r>
      <w:sdt>
        <w:sdtPr>
          <w:rPr>
            <w:rFonts w:ascii="Times New Roman" w:eastAsia="Calibri" w:hAnsi="Times New Roman"/>
            <w:sz w:val="20"/>
            <w:szCs w:val="20"/>
          </w:rPr>
          <w:id w:val="-869371154"/>
          <w:lock w:val="sdtLocked"/>
          <w:placeholder>
            <w:docPart w:val="6A360E65B05C45F0B99602E9B190CF2C"/>
          </w:placeholder>
          <w:date w:fullDate="2016-10-14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2B043B">
            <w:rPr>
              <w:rFonts w:ascii="Times New Roman" w:eastAsia="Calibri" w:hAnsi="Times New Roman"/>
              <w:sz w:val="20"/>
              <w:szCs w:val="20"/>
            </w:rPr>
            <w:t>14 de outubro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19BFDCD286444FADBF45AB30D52C95C6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22DB2">
            <w:rPr>
              <w:rFonts w:ascii="Times New Roman" w:eastAsia="Calibri" w:hAnsi="Times New Roman"/>
              <w:sz w:val="20"/>
              <w:szCs w:val="20"/>
            </w:rPr>
            <w:t>328/2016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128E643C4A334EE685ADE104673483CF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73102">
            <w:rPr>
              <w:rFonts w:ascii="Times New Roman" w:eastAsia="Calibri" w:hAnsi="Times New Roman"/>
              <w:sz w:val="20"/>
              <w:szCs w:val="20"/>
            </w:rPr>
            <w:t>Juçara Tedesco Barcelos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83ED57B448924FC38DF562A9B1578C1F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B043B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2B043B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1803C8D96AD6408CAB4F3ED0399F6A68"/>
        </w:placeholder>
      </w:sdtPr>
      <w:sdtEndPr/>
      <w:sdtContent>
        <w:p w:rsidR="002E577B" w:rsidRDefault="00A03681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Tempestivamente,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73102">
            <w:rPr>
              <w:rFonts w:ascii="Times New Roman" w:eastAsia="Calibri" w:hAnsi="Times New Roman"/>
              <w:sz w:val="20"/>
              <w:szCs w:val="20"/>
            </w:rPr>
            <w:t>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C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ontribuinte apresentou impugnação </w:t>
          </w:r>
          <w:r w:rsidR="00373102">
            <w:rPr>
              <w:rFonts w:ascii="Times New Roman" w:eastAsia="Calibri" w:hAnsi="Times New Roman"/>
              <w:sz w:val="20"/>
              <w:szCs w:val="20"/>
            </w:rPr>
            <w:t>via correio eletrônico</w:t>
          </w:r>
          <w:r w:rsidR="00120312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>(</w:t>
          </w:r>
          <w:proofErr w:type="spellStart"/>
          <w:r w:rsidRPr="00A03681">
            <w:rPr>
              <w:rFonts w:ascii="Times New Roman" w:eastAsia="Calibri" w:hAnsi="Times New Roman"/>
              <w:sz w:val="20"/>
              <w:szCs w:val="20"/>
            </w:rPr>
            <w:t>fl</w:t>
          </w:r>
          <w:proofErr w:type="spellEnd"/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73102">
            <w:rPr>
              <w:rFonts w:ascii="Times New Roman" w:eastAsia="Calibri" w:hAnsi="Times New Roman"/>
              <w:sz w:val="20"/>
              <w:szCs w:val="20"/>
            </w:rPr>
            <w:t>14</w:t>
          </w:r>
          <w:r w:rsidRPr="00A03681">
            <w:rPr>
              <w:rFonts w:ascii="Times New Roman" w:eastAsia="Calibri" w:hAnsi="Times New Roman"/>
              <w:sz w:val="20"/>
              <w:szCs w:val="20"/>
            </w:rPr>
            <w:t xml:space="preserve">), </w:t>
          </w:r>
          <w:r>
            <w:rPr>
              <w:rFonts w:ascii="Times New Roman" w:eastAsia="Calibri" w:hAnsi="Times New Roman"/>
              <w:sz w:val="20"/>
              <w:szCs w:val="20"/>
            </w:rPr>
            <w:t>opondo-se aos valores cobrados,</w:t>
          </w:r>
          <w:r w:rsidR="00282A3A" w:rsidRPr="00282A3A">
            <w:rPr>
              <w:rFonts w:ascii="Times New Roman" w:eastAsia="Calibri" w:hAnsi="Times New Roman"/>
              <w:sz w:val="20"/>
              <w:szCs w:val="20"/>
            </w:rPr>
            <w:t xml:space="preserve"> alegando, em suma, </w:t>
          </w:r>
          <w:r w:rsidR="00673B54">
            <w:rPr>
              <w:rFonts w:ascii="Times New Roman" w:eastAsia="Calibri" w:hAnsi="Times New Roman"/>
              <w:sz w:val="20"/>
              <w:szCs w:val="20"/>
            </w:rPr>
            <w:t xml:space="preserve">que </w:t>
          </w:r>
          <w:proofErr w:type="gramStart"/>
          <w:r w:rsidR="00673B54">
            <w:rPr>
              <w:rFonts w:ascii="Times New Roman" w:eastAsia="Calibri" w:hAnsi="Times New Roman"/>
              <w:sz w:val="20"/>
              <w:szCs w:val="20"/>
            </w:rPr>
            <w:t>encontrava-se</w:t>
          </w:r>
          <w:proofErr w:type="gramEnd"/>
          <w:r w:rsidR="00673B54">
            <w:rPr>
              <w:rFonts w:ascii="Times New Roman" w:eastAsia="Calibri" w:hAnsi="Times New Roman"/>
              <w:sz w:val="20"/>
              <w:szCs w:val="20"/>
            </w:rPr>
            <w:t xml:space="preserve"> aposentada, não mais exercendo a profissão desde o ano de 20</w:t>
          </w:r>
          <w:r w:rsidR="002B043B">
            <w:rPr>
              <w:rFonts w:ascii="Times New Roman" w:eastAsia="Calibri" w:hAnsi="Times New Roman"/>
              <w:sz w:val="20"/>
              <w:szCs w:val="20"/>
            </w:rPr>
            <w:t>0</w:t>
          </w:r>
          <w:r w:rsidR="00673B54">
            <w:rPr>
              <w:rFonts w:ascii="Times New Roman" w:eastAsia="Calibri" w:hAnsi="Times New Roman"/>
              <w:sz w:val="20"/>
              <w:szCs w:val="20"/>
            </w:rPr>
            <w:t>9</w:t>
          </w:r>
          <w:r w:rsidR="002E577B">
            <w:rPr>
              <w:rFonts w:ascii="Times New Roman" w:eastAsia="Calibri" w:hAnsi="Times New Roman"/>
              <w:sz w:val="20"/>
              <w:szCs w:val="20"/>
            </w:rPr>
            <w:t>.</w:t>
          </w:r>
        </w:p>
        <w:p w:rsidR="007335BA" w:rsidRDefault="002E577B" w:rsidP="00282A3A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Solicit</w:t>
          </w:r>
          <w:r w:rsidR="001C59B6">
            <w:rPr>
              <w:rFonts w:ascii="Times New Roman" w:eastAsia="Calibri" w:hAnsi="Times New Roman"/>
              <w:sz w:val="20"/>
              <w:szCs w:val="20"/>
            </w:rPr>
            <w:t>o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u, assim, a baixa de seu registro bem como dos débitos 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>pendentes.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</w:t>
      </w:r>
      <w:r w:rsidRPr="007335BA">
        <w:rPr>
          <w:rFonts w:ascii="Times New Roman" w:hAnsi="Times New Roman"/>
          <w:sz w:val="20"/>
          <w:szCs w:val="20"/>
        </w:rPr>
        <w:lastRenderedPageBreak/>
        <w:t xml:space="preserve">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 xml:space="preserve">. 2. Registra-se que, nos autos dos Embargos Infringentes de nº 5000625-68.2013.404.7105, decidido, por maioria, pela 1ª Seção </w:t>
      </w:r>
      <w:r w:rsidRPr="007335BA">
        <w:rPr>
          <w:rFonts w:ascii="Times New Roman" w:hAnsi="Times New Roman"/>
          <w:i/>
          <w:sz w:val="16"/>
          <w:szCs w:val="16"/>
        </w:rPr>
        <w:lastRenderedPageBreak/>
        <w:t>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95EEC97F495D4053967AD3E4BF0338A1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22DB2">
            <w:rPr>
              <w:rFonts w:ascii="Times New Roman" w:eastAsia="Calibri" w:hAnsi="Times New Roman"/>
              <w:sz w:val="20"/>
              <w:szCs w:val="20"/>
            </w:rPr>
            <w:t>328/2016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1803C8D96AD6408CAB4F3ED0399F6A68"/>
          </w:placeholder>
        </w:sdtPr>
        <w:sdtEndPr>
          <w:rPr>
            <w:highlight w:val="lightGray"/>
          </w:rPr>
        </w:sdtEndPr>
        <w:sdtContent>
          <w:r w:rsidR="002E577B">
            <w:rPr>
              <w:rFonts w:ascii="Times New Roman" w:eastAsia="Calibri" w:hAnsi="Times New Roman"/>
              <w:sz w:val="20"/>
              <w:szCs w:val="20"/>
            </w:rPr>
            <w:t>não possui razão a Contribuinte, tendo em vista que há inscrição regular da Arquiteta e Urbanista no CAU/RS, sendo que o mero afastamento do exercício da atividade não é causa legítima que afaste a obrigação de recolhimento dos v</w:t>
          </w:r>
          <w:r w:rsidR="00345D9F">
            <w:rPr>
              <w:rFonts w:ascii="Times New Roman" w:eastAsia="Calibri" w:hAnsi="Times New Roman"/>
              <w:sz w:val="20"/>
              <w:szCs w:val="20"/>
            </w:rPr>
            <w:t xml:space="preserve">alores. Ademais, a profissional não apresentou documentação hábil a comprovar a situação alegada na </w:t>
          </w:r>
          <w:proofErr w:type="gramStart"/>
          <w:r w:rsidR="00345D9F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BE3CAE0DB079447FBABCD2E5F888C2F6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 e </w:t>
          </w:r>
          <w:proofErr w:type="gramStart"/>
          <w:r w:rsidRPr="002D2D16">
            <w:rPr>
              <w:rFonts w:ascii="Times New Roman" w:eastAsia="Calibri" w:hAnsi="Times New Roman"/>
              <w:sz w:val="20"/>
              <w:szCs w:val="20"/>
            </w:rPr>
            <w:t>Urbanista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>.</w:t>
          </w:r>
          <w:proofErr w:type="gramEnd"/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B6A1C9BEE1B45CA9D92EAC1AF5C4BD8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22DB2">
            <w:rPr>
              <w:rFonts w:ascii="Times New Roman" w:eastAsia="Calibri" w:hAnsi="Times New Roman"/>
              <w:sz w:val="20"/>
              <w:szCs w:val="20"/>
            </w:rPr>
            <w:t>23 de novembro de 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DD173AF7A1F14234B5A298E2BCD43C8D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717667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717667" w:rsidP="0012402E">
      <w:pPr>
        <w:spacing w:line="360" w:lineRule="auto"/>
        <w:jc w:val="center"/>
        <w:rPr>
          <w:sz w:val="20"/>
          <w:szCs w:val="20"/>
        </w:rPr>
      </w:pPr>
      <w:sdt>
        <w:sdtPr>
          <w:rPr>
            <w:rFonts w:ascii="Times New Roman" w:eastAsia="Calibri" w:hAnsi="Times New Roman"/>
            <w:sz w:val="20"/>
            <w:szCs w:val="20"/>
          </w:rPr>
          <w:id w:val="857466341"/>
          <w:placeholder>
            <w:docPart w:val="1803C8D96AD6408CAB4F3ED0399F6A68"/>
          </w:placeholder>
          <w:text/>
        </w:sdtPr>
        <w:sdtEndPr/>
        <w:sdtContent>
          <w:r w:rsidR="00E93404" w:rsidRPr="00641960">
            <w:rPr>
              <w:rFonts w:ascii="Times New Roman" w:eastAsia="Calibri" w:hAnsi="Times New Roman"/>
              <w:sz w:val="20"/>
              <w:szCs w:val="20"/>
            </w:rPr>
            <w:t>Conselheiro Relator</w:t>
          </w:r>
        </w:sdtContent>
      </w:sdt>
      <w:r w:rsidR="00F04346" w:rsidRPr="00F04346">
        <w:rPr>
          <w:sz w:val="20"/>
          <w:szCs w:val="20"/>
        </w:rPr>
        <w:br w:type="page"/>
      </w:r>
    </w:p>
    <w:p w:rsidR="00356BEC" w:rsidRDefault="00356BEC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20002" wp14:editId="5C37194D">
                <wp:simplePos x="0" y="0"/>
                <wp:positionH relativeFrom="column">
                  <wp:posOffset>-1014095</wp:posOffset>
                </wp:positionH>
                <wp:positionV relativeFrom="paragraph">
                  <wp:posOffset>7741725</wp:posOffset>
                </wp:positionV>
                <wp:extent cx="7513163" cy="1093509"/>
                <wp:effectExtent l="0" t="0" r="0" b="0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2" o:spid="_x0000_s1026" style="position:absolute;margin-left:-79.85pt;margin-top:609.6pt;width:591.6pt;height:8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D2913D" wp14:editId="511AAB13">
                <wp:simplePos x="0" y="0"/>
                <wp:positionH relativeFrom="column">
                  <wp:posOffset>-1014147</wp:posOffset>
                </wp:positionH>
                <wp:positionV relativeFrom="paragraph">
                  <wp:posOffset>-1800860</wp:posOffset>
                </wp:positionV>
                <wp:extent cx="7513163" cy="1093509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3163" cy="109350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-79.85pt;margin-top:-141.8pt;width:591.6pt;height:8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" fillcolor="white [3201]" stroked="f" strokeweight="2pt"/>
            </w:pict>
          </mc:Fallback>
        </mc:AlternateContent>
      </w:r>
      <w:r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6BA2F61FAC844BE0A7AF7B8DE8C663FB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F22DB2">
                  <w:rPr>
                    <w:rFonts w:ascii="Times New Roman" w:hAnsi="Times New Roman"/>
                    <w:sz w:val="20"/>
                    <w:szCs w:val="20"/>
                  </w:rPr>
                  <w:t>630/2016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FB757621F6B34EEE9B0C7A342250B870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F22DB2">
                  <w:rPr>
                    <w:rFonts w:ascii="Times New Roman" w:hAnsi="Times New Roman"/>
                    <w:sz w:val="20"/>
                    <w:szCs w:val="20"/>
                  </w:rPr>
                  <w:t>328/2016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05563EA664C64143B303E2FD45EFD7FC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373102">
                  <w:rPr>
                    <w:rFonts w:ascii="Times New Roman" w:hAnsi="Times New Roman"/>
                    <w:sz w:val="20"/>
                    <w:szCs w:val="20"/>
                  </w:rPr>
                  <w:t>Juçara Tedesco Barcelos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17667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CC3B5CF4B3F848D4B8B9FF2B600309F8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11-23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F22DB2">
                  <w:rPr>
                    <w:rFonts w:ascii="Times New Roman" w:hAnsi="Times New Roman"/>
                    <w:sz w:val="20"/>
                    <w:szCs w:val="20"/>
                  </w:rPr>
                  <w:t>23/11/2016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653C7520FFC34016969081D23E642DE9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717667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717667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1803C8D96AD6408CAB4F3ED0399F6A68"/>
                </w:placeholder>
                <w:text/>
              </w:sdtPr>
              <w:sdtEndPr/>
              <w:sdtContent>
                <w:r w:rsidR="00717667">
                  <w:rPr>
                    <w:rFonts w:ascii="Times New Roman" w:hAnsi="Times New Roman"/>
                    <w:b/>
                    <w:sz w:val="20"/>
                    <w:szCs w:val="20"/>
                  </w:rPr>
                  <w:t>127/2016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7CE1C9404B9A493EBE0213FDBE42DD73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22DB2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D69C056803A84628B8C247CE5C72B2B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73102">
            <w:rPr>
              <w:rFonts w:ascii="Times New Roman" w:hAnsi="Times New Roman"/>
              <w:sz w:val="20"/>
              <w:szCs w:val="20"/>
            </w:rPr>
            <w:t>Juçara Tedesco Barcelos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152FB4A8B6F24FDBAFDF137870D02B7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F22DB2">
            <w:rPr>
              <w:rFonts w:ascii="Times New Roman" w:eastAsia="Calibri" w:hAnsi="Times New Roman"/>
              <w:sz w:val="20"/>
              <w:szCs w:val="20"/>
            </w:rPr>
            <w:t>328/2016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CBCB135206C74D6AAADD8ED6D2E532B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B043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1803C8D96AD6408CAB4F3ED0399F6A68"/>
          </w:placeholder>
        </w:sdtPr>
        <w:sdtEndPr>
          <w:rPr>
            <w:highlight w:val="lightGray"/>
          </w:rPr>
        </w:sdtEndPr>
        <w:sdtContent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que: </w:t>
          </w:r>
          <w:r w:rsidR="00345D9F">
            <w:rPr>
              <w:rFonts w:ascii="Times New Roman" w:eastAsia="Calibri" w:hAnsi="Times New Roman"/>
              <w:sz w:val="20"/>
              <w:szCs w:val="20"/>
            </w:rPr>
            <w:t xml:space="preserve">(1) 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há inscrição regular da Arquiteta e Urbanista no CAU/RS, </w:t>
          </w:r>
          <w:r w:rsidR="00AD16C0">
            <w:rPr>
              <w:rFonts w:ascii="Times New Roman" w:eastAsia="Calibri" w:hAnsi="Times New Roman"/>
              <w:sz w:val="20"/>
              <w:szCs w:val="20"/>
            </w:rPr>
            <w:t>sendo que o mero afastamento do exercício da atividade não é causa legítima que afaste a obrigação de recolhimento dos valores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="00345D9F">
            <w:rPr>
              <w:rFonts w:ascii="Times New Roman" w:eastAsia="Calibri" w:hAnsi="Times New Roman"/>
              <w:sz w:val="20"/>
              <w:szCs w:val="20"/>
            </w:rPr>
            <w:t>(2)</w:t>
          </w:r>
          <w:r w:rsidR="0012402E">
            <w:rPr>
              <w:rFonts w:ascii="Times New Roman" w:eastAsia="Calibri" w:hAnsi="Times New Roman"/>
              <w:sz w:val="20"/>
              <w:szCs w:val="20"/>
            </w:rPr>
            <w:t xml:space="preserve"> a profissional não logrou êxito em comprovar as alegações </w:t>
          </w:r>
          <w:r w:rsidR="002E577B">
            <w:rPr>
              <w:rFonts w:ascii="Times New Roman" w:eastAsia="Calibri" w:hAnsi="Times New Roman"/>
              <w:sz w:val="20"/>
              <w:szCs w:val="20"/>
            </w:rPr>
            <w:t xml:space="preserve">apresentadas na </w:t>
          </w:r>
          <w:proofErr w:type="gramStart"/>
          <w:r w:rsidR="002E577B">
            <w:rPr>
              <w:rFonts w:ascii="Times New Roman" w:eastAsia="Calibri" w:hAnsi="Times New Roman"/>
              <w:sz w:val="20"/>
              <w:szCs w:val="20"/>
            </w:rPr>
            <w:t>impugnação.</w:t>
          </w:r>
          <w:proofErr w:type="gramEnd"/>
        </w:sdtContent>
      </w:sdt>
    </w:p>
    <w:p w:rsidR="007335BA" w:rsidRPr="007335B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046E52FBD7184CAE8062CA3898BF5B34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373102">
            <w:rPr>
              <w:rFonts w:ascii="Times New Roman" w:hAnsi="Times New Roman"/>
              <w:sz w:val="20"/>
              <w:szCs w:val="20"/>
            </w:rPr>
            <w:t>Juçara Tedesco Barcelos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1803C8D96AD6408CAB4F3ED0399F6A68"/>
          </w:placeholder>
          <w:text/>
        </w:sdtPr>
        <w:sdtEndPr/>
        <w:sdtContent>
          <w:r w:rsidR="00521814">
            <w:rPr>
              <w:rFonts w:ascii="Times New Roman" w:hAnsi="Times New Roman"/>
              <w:sz w:val="20"/>
              <w:szCs w:val="20"/>
            </w:rPr>
            <w:t>1.665,74</w:t>
          </w:r>
          <w:r w:rsidRPr="00641960">
            <w:rPr>
              <w:rFonts w:ascii="Times New Roman" w:hAnsi="Times New Roman"/>
              <w:sz w:val="20"/>
              <w:szCs w:val="20"/>
            </w:rPr>
            <w:t xml:space="preserve"> (</w:t>
          </w:r>
          <w:r w:rsidR="00521814">
            <w:rPr>
              <w:rFonts w:ascii="Times New Roman" w:hAnsi="Times New Roman"/>
              <w:sz w:val="20"/>
              <w:szCs w:val="20"/>
            </w:rPr>
            <w:t>um mil seiscentos e sessenta e cinco e setenta e quatro centavos</w:t>
          </w:r>
          <w:r w:rsidRPr="00641960">
            <w:rPr>
              <w:rFonts w:ascii="Times New Roman" w:hAnsi="Times New Roman"/>
              <w:sz w:val="20"/>
              <w:szCs w:val="20"/>
            </w:rPr>
            <w:t>)</w:t>
          </w:r>
        </w:sdtContent>
      </w:sdt>
      <w:r>
        <w:rPr>
          <w:rFonts w:ascii="Times New Roman" w:hAnsi="Times New Roman"/>
          <w:sz w:val="20"/>
          <w:szCs w:val="20"/>
        </w:rPr>
        <w:t xml:space="preserve">, 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175EECF3DED44085888E987FF626801C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2B043B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C879587BCCD64F0E9222063F394515DF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11-23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F22DB2">
            <w:rPr>
              <w:rFonts w:ascii="Times New Roman" w:hAnsi="Times New Roman"/>
              <w:sz w:val="20"/>
              <w:szCs w:val="20"/>
            </w:rPr>
            <w:t>23 de novembro de 2016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1803C8D96AD6408CAB4F3ED0399F6A68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1803C8D96AD6408CAB4F3ED0399F6A68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1803C8D96AD6408CAB4F3ED0399F6A68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F45936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836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DB2" w:rsidRDefault="00F22DB2">
      <w:r>
        <w:separator/>
      </w:r>
    </w:p>
  </w:endnote>
  <w:endnote w:type="continuationSeparator" w:id="0">
    <w:p w:rsidR="00F22DB2" w:rsidRDefault="00F2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DB2" w:rsidRDefault="00F22DB2">
      <w:r>
        <w:separator/>
      </w:r>
    </w:p>
  </w:footnote>
  <w:footnote w:type="continuationSeparator" w:id="0">
    <w:p w:rsidR="00F22DB2" w:rsidRDefault="00F22DB2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2DDD7886" wp14:editId="24657B9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6442C0DE" wp14:editId="6FEDF84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175A0699" wp14:editId="73BBD067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1" w:cryptProviderType="rsaFull" w:cryptAlgorithmClass="hash" w:cryptAlgorithmType="typeAny" w:cryptAlgorithmSid="4" w:cryptSpinCount="100000" w:hash="kSuS5+tc1d0Gsqp/KQAiUdCGjEE=" w:salt="gWznAHcMSJSTNyCDHNNlGQ==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2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0312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3726"/>
    <w:rsid w:val="001B5217"/>
    <w:rsid w:val="001C59B6"/>
    <w:rsid w:val="001D3CDB"/>
    <w:rsid w:val="001D558E"/>
    <w:rsid w:val="001D6201"/>
    <w:rsid w:val="001E15D4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43B"/>
    <w:rsid w:val="002B0A04"/>
    <w:rsid w:val="002C71F3"/>
    <w:rsid w:val="002D1AC4"/>
    <w:rsid w:val="002D2D16"/>
    <w:rsid w:val="002D4C79"/>
    <w:rsid w:val="002E577B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45D9F"/>
    <w:rsid w:val="00351EB8"/>
    <w:rsid w:val="00352307"/>
    <w:rsid w:val="00353C04"/>
    <w:rsid w:val="00354E22"/>
    <w:rsid w:val="00356BEC"/>
    <w:rsid w:val="003652C0"/>
    <w:rsid w:val="0036644B"/>
    <w:rsid w:val="003731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D5132"/>
    <w:rsid w:val="004D66ED"/>
    <w:rsid w:val="004E3809"/>
    <w:rsid w:val="004F25C8"/>
    <w:rsid w:val="004F2EA5"/>
    <w:rsid w:val="004F56E7"/>
    <w:rsid w:val="004F6A99"/>
    <w:rsid w:val="00501A9E"/>
    <w:rsid w:val="00521814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73B54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176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22DB2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IEMEYER\Jur&#237;dico\Assessoria%20Jur&#237;dica\Comiss&#245;es\CPF\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14BF0EBA58448068216C32492E8CD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C94418-1CD1-4DA1-A086-F4BF74AFEDD2}"/>
      </w:docPartPr>
      <w:docPartBody>
        <w:p w:rsidR="006828AC" w:rsidRDefault="006828AC">
          <w:pPr>
            <w:pStyle w:val="B14BF0EBA58448068216C32492E8CD19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2062C73989474817A6A7BB0085638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F625F9-2D8F-4231-B9C2-F79E252532C8}"/>
      </w:docPartPr>
      <w:docPartBody>
        <w:p w:rsidR="006828AC" w:rsidRDefault="006828AC">
          <w:pPr>
            <w:pStyle w:val="2062C73989474817A6A7BB00856387FC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9C0F4F79B8D544FEB9CF7B143D8FB5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04523E2-2961-4B02-8F74-73999CEEBC4F}"/>
      </w:docPartPr>
      <w:docPartBody>
        <w:p w:rsidR="006828AC" w:rsidRDefault="006828AC">
          <w:pPr>
            <w:pStyle w:val="9C0F4F79B8D544FEB9CF7B143D8FB583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15DC3EDA66D4590A44F386D7538D9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409B12-E6A2-4E9F-8631-059B35278CDB}"/>
      </w:docPartPr>
      <w:docPartBody>
        <w:p w:rsidR="006828AC" w:rsidRDefault="006828AC">
          <w:pPr>
            <w:pStyle w:val="F15DC3EDA66D4590A44F386D7538D9A7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803C8D96AD6408CAB4F3ED0399F6A6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20209-126A-44FE-B6C5-B9684279DFAE}"/>
      </w:docPartPr>
      <w:docPartBody>
        <w:p w:rsidR="006828AC" w:rsidRDefault="006828AC">
          <w:pPr>
            <w:pStyle w:val="1803C8D96AD6408CAB4F3ED0399F6A6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A83A5C8A8534073822F491094CC40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B842E7-8CE3-4C64-89F1-7C4DE08B7588}"/>
      </w:docPartPr>
      <w:docPartBody>
        <w:p w:rsidR="006828AC" w:rsidRDefault="006828AC">
          <w:pPr>
            <w:pStyle w:val="8A83A5C8A8534073822F491094CC40C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A360E65B05C45F0B99602E9B190CF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2E40E6-FF88-4D3A-8017-709C4E598EA1}"/>
      </w:docPartPr>
      <w:docPartBody>
        <w:p w:rsidR="006828AC" w:rsidRDefault="006828AC">
          <w:pPr>
            <w:pStyle w:val="6A360E65B05C45F0B99602E9B190CF2C"/>
          </w:pPr>
          <w:r w:rsidRPr="0036091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19BFDCD286444FADBF45AB30D52C95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E2B184-7082-4127-A327-33484B0A8CBA}"/>
      </w:docPartPr>
      <w:docPartBody>
        <w:p w:rsidR="006828AC" w:rsidRDefault="006828AC">
          <w:pPr>
            <w:pStyle w:val="19BFDCD286444FADBF45AB30D52C95C6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128E643C4A334EE685ADE104673483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A20D62-D756-4F6E-939C-68F1592A90DD}"/>
      </w:docPartPr>
      <w:docPartBody>
        <w:p w:rsidR="006828AC" w:rsidRDefault="006828AC">
          <w:pPr>
            <w:pStyle w:val="128E643C4A334EE685ADE104673483CF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83ED57B448924FC38DF562A9B1578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E72196-5E46-4BAE-BC11-F693C86BE253}"/>
      </w:docPartPr>
      <w:docPartBody>
        <w:p w:rsidR="006828AC" w:rsidRDefault="006828AC">
          <w:pPr>
            <w:pStyle w:val="83ED57B448924FC38DF562A9B1578C1F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95EEC97F495D4053967AD3E4BF0338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D6BE06-7401-4812-B6D0-EA5A6AC6BA88}"/>
      </w:docPartPr>
      <w:docPartBody>
        <w:p w:rsidR="006828AC" w:rsidRDefault="006828AC">
          <w:pPr>
            <w:pStyle w:val="95EEC97F495D4053967AD3E4BF0338A1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BE3CAE0DB079447FBABCD2E5F888C2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B6FDAB-228E-4BF6-B744-C3ABB6977781}"/>
      </w:docPartPr>
      <w:docPartBody>
        <w:p w:rsidR="006828AC" w:rsidRDefault="006828AC">
          <w:pPr>
            <w:pStyle w:val="BE3CAE0DB079447FBABCD2E5F888C2F6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B6A1C9BEE1B45CA9D92EAC1AF5C4B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51717-DDA8-48CA-8174-27443E46FADE}"/>
      </w:docPartPr>
      <w:docPartBody>
        <w:p w:rsidR="006828AC" w:rsidRDefault="006828AC">
          <w:pPr>
            <w:pStyle w:val="5B6A1C9BEE1B45CA9D92EAC1AF5C4BD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D173AF7A1F14234B5A298E2BCD43C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38B9E7-2D98-4905-996F-63D4B60C5AD4}"/>
      </w:docPartPr>
      <w:docPartBody>
        <w:p w:rsidR="006828AC" w:rsidRDefault="006828AC">
          <w:pPr>
            <w:pStyle w:val="DD173AF7A1F14234B5A298E2BCD43C8D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6BA2F61FAC844BE0A7AF7B8DE8C663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09019-4BDE-4026-BECC-4A78E6B0DDA4}"/>
      </w:docPartPr>
      <w:docPartBody>
        <w:p w:rsidR="006828AC" w:rsidRDefault="006828AC">
          <w:pPr>
            <w:pStyle w:val="6BA2F61FAC844BE0A7AF7B8DE8C663FB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FB757621F6B34EEE9B0C7A342250B8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E2067E-1F3D-475F-A913-123C50790E20}"/>
      </w:docPartPr>
      <w:docPartBody>
        <w:p w:rsidR="006828AC" w:rsidRDefault="006828AC">
          <w:pPr>
            <w:pStyle w:val="FB757621F6B34EEE9B0C7A342250B87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05563EA664C64143B303E2FD45EFD7F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83A76-7BD3-47BD-9098-BF9C59CD4F3B}"/>
      </w:docPartPr>
      <w:docPartBody>
        <w:p w:rsidR="006828AC" w:rsidRDefault="006828AC">
          <w:pPr>
            <w:pStyle w:val="05563EA664C64143B303E2FD45EFD7FC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CC3B5CF4B3F848D4B8B9FF2B600309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B317ED-5BF6-438C-B652-6E43CA87F47F}"/>
      </w:docPartPr>
      <w:docPartBody>
        <w:p w:rsidR="006828AC" w:rsidRDefault="006828AC">
          <w:pPr>
            <w:pStyle w:val="CC3B5CF4B3F848D4B8B9FF2B600309F8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53C7520FFC34016969081D23E642D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9BCF26-6AF7-4F30-96BF-43185EC51153}"/>
      </w:docPartPr>
      <w:docPartBody>
        <w:p w:rsidR="006828AC" w:rsidRDefault="006828AC">
          <w:pPr>
            <w:pStyle w:val="653C7520FFC34016969081D23E642DE9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7CE1C9404B9A493EBE0213FDBE42DD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6F656B-0708-490D-8C02-001144AD045D}"/>
      </w:docPartPr>
      <w:docPartBody>
        <w:p w:rsidR="006828AC" w:rsidRDefault="006828AC">
          <w:pPr>
            <w:pStyle w:val="7CE1C9404B9A493EBE0213FDBE42DD7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69C056803A84628B8C247CE5C72B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8EE9D-CC53-4521-A8BC-A6D48F61B4E9}"/>
      </w:docPartPr>
      <w:docPartBody>
        <w:p w:rsidR="006828AC" w:rsidRDefault="006828AC">
          <w:pPr>
            <w:pStyle w:val="D69C056803A84628B8C247CE5C72B2BD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52FB4A8B6F24FDBAFDF137870D02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6DBB2D-9B90-4204-A603-BDFEDA2025D3}"/>
      </w:docPartPr>
      <w:docPartBody>
        <w:p w:rsidR="006828AC" w:rsidRDefault="006828AC">
          <w:pPr>
            <w:pStyle w:val="152FB4A8B6F24FDBAFDF137870D02B7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CBCB135206C74D6AAADD8ED6D2E532B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C08057-8D18-4C3D-9C3A-CEE58C4E4D30}"/>
      </w:docPartPr>
      <w:docPartBody>
        <w:p w:rsidR="006828AC" w:rsidRDefault="006828AC">
          <w:pPr>
            <w:pStyle w:val="CBCB135206C74D6AAADD8ED6D2E532B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046E52FBD7184CAE8062CA3898BF5B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7BFE4F-95D7-4CB9-ACCA-274AE9EF3063}"/>
      </w:docPartPr>
      <w:docPartBody>
        <w:p w:rsidR="006828AC" w:rsidRDefault="006828AC">
          <w:pPr>
            <w:pStyle w:val="046E52FBD7184CAE8062CA3898BF5B34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175EECF3DED44085888E987FF62680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9EC413-9C48-4F6C-B384-2FF1250A1551}"/>
      </w:docPartPr>
      <w:docPartBody>
        <w:p w:rsidR="006828AC" w:rsidRDefault="006828AC">
          <w:pPr>
            <w:pStyle w:val="175EECF3DED44085888E987FF626801C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C879587BCCD64F0E9222063F394515D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06C3F3-5843-4E69-B79C-0911C16A861F}"/>
      </w:docPartPr>
      <w:docPartBody>
        <w:p w:rsidR="006828AC" w:rsidRDefault="006828AC">
          <w:pPr>
            <w:pStyle w:val="C879587BCCD64F0E9222063F394515DF"/>
          </w:pPr>
          <w:r w:rsidRPr="00360913">
            <w:rPr>
              <w:rStyle w:val="TextodoEspaoReservado"/>
            </w:rPr>
            <w:t>[Data de Publicação]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AC"/>
    <w:rsid w:val="0068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14BF0EBA58448068216C32492E8CD19">
    <w:name w:val="B14BF0EBA58448068216C32492E8CD19"/>
  </w:style>
  <w:style w:type="paragraph" w:customStyle="1" w:styleId="2062C73989474817A6A7BB00856387FC">
    <w:name w:val="2062C73989474817A6A7BB00856387FC"/>
  </w:style>
  <w:style w:type="paragraph" w:customStyle="1" w:styleId="9C0F4F79B8D544FEB9CF7B143D8FB583">
    <w:name w:val="9C0F4F79B8D544FEB9CF7B143D8FB583"/>
  </w:style>
  <w:style w:type="paragraph" w:customStyle="1" w:styleId="F15DC3EDA66D4590A44F386D7538D9A7">
    <w:name w:val="F15DC3EDA66D4590A44F386D7538D9A7"/>
  </w:style>
  <w:style w:type="paragraph" w:customStyle="1" w:styleId="1803C8D96AD6408CAB4F3ED0399F6A68">
    <w:name w:val="1803C8D96AD6408CAB4F3ED0399F6A68"/>
  </w:style>
  <w:style w:type="paragraph" w:customStyle="1" w:styleId="8A83A5C8A8534073822F491094CC40C1">
    <w:name w:val="8A83A5C8A8534073822F491094CC40C1"/>
  </w:style>
  <w:style w:type="paragraph" w:customStyle="1" w:styleId="6A360E65B05C45F0B99602E9B190CF2C">
    <w:name w:val="6A360E65B05C45F0B99602E9B190CF2C"/>
  </w:style>
  <w:style w:type="paragraph" w:customStyle="1" w:styleId="19BFDCD286444FADBF45AB30D52C95C6">
    <w:name w:val="19BFDCD286444FADBF45AB30D52C95C6"/>
  </w:style>
  <w:style w:type="paragraph" w:customStyle="1" w:styleId="128E643C4A334EE685ADE104673483CF">
    <w:name w:val="128E643C4A334EE685ADE104673483CF"/>
  </w:style>
  <w:style w:type="paragraph" w:customStyle="1" w:styleId="83ED57B448924FC38DF562A9B1578C1F">
    <w:name w:val="83ED57B448924FC38DF562A9B1578C1F"/>
  </w:style>
  <w:style w:type="paragraph" w:customStyle="1" w:styleId="95EEC97F495D4053967AD3E4BF0338A1">
    <w:name w:val="95EEC97F495D4053967AD3E4BF0338A1"/>
  </w:style>
  <w:style w:type="paragraph" w:customStyle="1" w:styleId="BE3CAE0DB079447FBABCD2E5F888C2F6">
    <w:name w:val="BE3CAE0DB079447FBABCD2E5F888C2F6"/>
  </w:style>
  <w:style w:type="paragraph" w:customStyle="1" w:styleId="5B6A1C9BEE1B45CA9D92EAC1AF5C4BD8">
    <w:name w:val="5B6A1C9BEE1B45CA9D92EAC1AF5C4BD8"/>
  </w:style>
  <w:style w:type="paragraph" w:customStyle="1" w:styleId="DD173AF7A1F14234B5A298E2BCD43C8D">
    <w:name w:val="DD173AF7A1F14234B5A298E2BCD43C8D"/>
  </w:style>
  <w:style w:type="paragraph" w:customStyle="1" w:styleId="6BA2F61FAC844BE0A7AF7B8DE8C663FB">
    <w:name w:val="6BA2F61FAC844BE0A7AF7B8DE8C663FB"/>
  </w:style>
  <w:style w:type="paragraph" w:customStyle="1" w:styleId="FB757621F6B34EEE9B0C7A342250B870">
    <w:name w:val="FB757621F6B34EEE9B0C7A342250B870"/>
  </w:style>
  <w:style w:type="paragraph" w:customStyle="1" w:styleId="05563EA664C64143B303E2FD45EFD7FC">
    <w:name w:val="05563EA664C64143B303E2FD45EFD7FC"/>
  </w:style>
  <w:style w:type="paragraph" w:customStyle="1" w:styleId="CC3B5CF4B3F848D4B8B9FF2B600309F8">
    <w:name w:val="CC3B5CF4B3F848D4B8B9FF2B600309F8"/>
  </w:style>
  <w:style w:type="paragraph" w:customStyle="1" w:styleId="653C7520FFC34016969081D23E642DE9">
    <w:name w:val="653C7520FFC34016969081D23E642DE9"/>
  </w:style>
  <w:style w:type="paragraph" w:customStyle="1" w:styleId="7CE1C9404B9A493EBE0213FDBE42DD73">
    <w:name w:val="7CE1C9404B9A493EBE0213FDBE42DD73"/>
  </w:style>
  <w:style w:type="paragraph" w:customStyle="1" w:styleId="D69C056803A84628B8C247CE5C72B2BD">
    <w:name w:val="D69C056803A84628B8C247CE5C72B2BD"/>
  </w:style>
  <w:style w:type="paragraph" w:customStyle="1" w:styleId="152FB4A8B6F24FDBAFDF137870D02B70">
    <w:name w:val="152FB4A8B6F24FDBAFDF137870D02B70"/>
  </w:style>
  <w:style w:type="paragraph" w:customStyle="1" w:styleId="CBCB135206C74D6AAADD8ED6D2E532BD">
    <w:name w:val="CBCB135206C74D6AAADD8ED6D2E532BD"/>
  </w:style>
  <w:style w:type="paragraph" w:customStyle="1" w:styleId="046E52FBD7184CAE8062CA3898BF5B34">
    <w:name w:val="046E52FBD7184CAE8062CA3898BF5B34"/>
  </w:style>
  <w:style w:type="paragraph" w:customStyle="1" w:styleId="175EECF3DED44085888E987FF626801C">
    <w:name w:val="175EECF3DED44085888E987FF626801C"/>
  </w:style>
  <w:style w:type="paragraph" w:customStyle="1" w:styleId="C879587BCCD64F0E9222063F394515DF">
    <w:name w:val="C879587BCCD64F0E9222063F394515D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B14BF0EBA58448068216C32492E8CD19">
    <w:name w:val="B14BF0EBA58448068216C32492E8CD19"/>
  </w:style>
  <w:style w:type="paragraph" w:customStyle="1" w:styleId="2062C73989474817A6A7BB00856387FC">
    <w:name w:val="2062C73989474817A6A7BB00856387FC"/>
  </w:style>
  <w:style w:type="paragraph" w:customStyle="1" w:styleId="9C0F4F79B8D544FEB9CF7B143D8FB583">
    <w:name w:val="9C0F4F79B8D544FEB9CF7B143D8FB583"/>
  </w:style>
  <w:style w:type="paragraph" w:customStyle="1" w:styleId="F15DC3EDA66D4590A44F386D7538D9A7">
    <w:name w:val="F15DC3EDA66D4590A44F386D7538D9A7"/>
  </w:style>
  <w:style w:type="paragraph" w:customStyle="1" w:styleId="1803C8D96AD6408CAB4F3ED0399F6A68">
    <w:name w:val="1803C8D96AD6408CAB4F3ED0399F6A68"/>
  </w:style>
  <w:style w:type="paragraph" w:customStyle="1" w:styleId="8A83A5C8A8534073822F491094CC40C1">
    <w:name w:val="8A83A5C8A8534073822F491094CC40C1"/>
  </w:style>
  <w:style w:type="paragraph" w:customStyle="1" w:styleId="6A360E65B05C45F0B99602E9B190CF2C">
    <w:name w:val="6A360E65B05C45F0B99602E9B190CF2C"/>
  </w:style>
  <w:style w:type="paragraph" w:customStyle="1" w:styleId="19BFDCD286444FADBF45AB30D52C95C6">
    <w:name w:val="19BFDCD286444FADBF45AB30D52C95C6"/>
  </w:style>
  <w:style w:type="paragraph" w:customStyle="1" w:styleId="128E643C4A334EE685ADE104673483CF">
    <w:name w:val="128E643C4A334EE685ADE104673483CF"/>
  </w:style>
  <w:style w:type="paragraph" w:customStyle="1" w:styleId="83ED57B448924FC38DF562A9B1578C1F">
    <w:name w:val="83ED57B448924FC38DF562A9B1578C1F"/>
  </w:style>
  <w:style w:type="paragraph" w:customStyle="1" w:styleId="95EEC97F495D4053967AD3E4BF0338A1">
    <w:name w:val="95EEC97F495D4053967AD3E4BF0338A1"/>
  </w:style>
  <w:style w:type="paragraph" w:customStyle="1" w:styleId="BE3CAE0DB079447FBABCD2E5F888C2F6">
    <w:name w:val="BE3CAE0DB079447FBABCD2E5F888C2F6"/>
  </w:style>
  <w:style w:type="paragraph" w:customStyle="1" w:styleId="5B6A1C9BEE1B45CA9D92EAC1AF5C4BD8">
    <w:name w:val="5B6A1C9BEE1B45CA9D92EAC1AF5C4BD8"/>
  </w:style>
  <w:style w:type="paragraph" w:customStyle="1" w:styleId="DD173AF7A1F14234B5A298E2BCD43C8D">
    <w:name w:val="DD173AF7A1F14234B5A298E2BCD43C8D"/>
  </w:style>
  <w:style w:type="paragraph" w:customStyle="1" w:styleId="6BA2F61FAC844BE0A7AF7B8DE8C663FB">
    <w:name w:val="6BA2F61FAC844BE0A7AF7B8DE8C663FB"/>
  </w:style>
  <w:style w:type="paragraph" w:customStyle="1" w:styleId="FB757621F6B34EEE9B0C7A342250B870">
    <w:name w:val="FB757621F6B34EEE9B0C7A342250B870"/>
  </w:style>
  <w:style w:type="paragraph" w:customStyle="1" w:styleId="05563EA664C64143B303E2FD45EFD7FC">
    <w:name w:val="05563EA664C64143B303E2FD45EFD7FC"/>
  </w:style>
  <w:style w:type="paragraph" w:customStyle="1" w:styleId="CC3B5CF4B3F848D4B8B9FF2B600309F8">
    <w:name w:val="CC3B5CF4B3F848D4B8B9FF2B600309F8"/>
  </w:style>
  <w:style w:type="paragraph" w:customStyle="1" w:styleId="653C7520FFC34016969081D23E642DE9">
    <w:name w:val="653C7520FFC34016969081D23E642DE9"/>
  </w:style>
  <w:style w:type="paragraph" w:customStyle="1" w:styleId="7CE1C9404B9A493EBE0213FDBE42DD73">
    <w:name w:val="7CE1C9404B9A493EBE0213FDBE42DD73"/>
  </w:style>
  <w:style w:type="paragraph" w:customStyle="1" w:styleId="D69C056803A84628B8C247CE5C72B2BD">
    <w:name w:val="D69C056803A84628B8C247CE5C72B2BD"/>
  </w:style>
  <w:style w:type="paragraph" w:customStyle="1" w:styleId="152FB4A8B6F24FDBAFDF137870D02B70">
    <w:name w:val="152FB4A8B6F24FDBAFDF137870D02B70"/>
  </w:style>
  <w:style w:type="paragraph" w:customStyle="1" w:styleId="CBCB135206C74D6AAADD8ED6D2E532BD">
    <w:name w:val="CBCB135206C74D6AAADD8ED6D2E532BD"/>
  </w:style>
  <w:style w:type="paragraph" w:customStyle="1" w:styleId="046E52FBD7184CAE8062CA3898BF5B34">
    <w:name w:val="046E52FBD7184CAE8062CA3898BF5B34"/>
  </w:style>
  <w:style w:type="paragraph" w:customStyle="1" w:styleId="175EECF3DED44085888E987FF626801C">
    <w:name w:val="175EECF3DED44085888E987FF626801C"/>
  </w:style>
  <w:style w:type="paragraph" w:customStyle="1" w:styleId="C879587BCCD64F0E9222063F394515DF">
    <w:name w:val="C879587BCCD64F0E9222063F394515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2016-11-23T00:00:00</PublishDate>
  <Abstract>328/2016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5BEDAAB-16B7-4B3D-A1B4-4D6385995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Anuidade - Indeferimento da impugnação</Template>
  <TotalTime>0</TotalTime>
  <Pages>5</Pages>
  <Words>1457</Words>
  <Characters>8754</Characters>
  <Application>Microsoft Office Word</Application>
  <DocSecurity>0</DocSecurity>
  <Lines>72</Lines>
  <Paragraphs>20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10191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630/2016</dc:subject>
  <dc:creator>Juçara Tedesco Barcelos</dc:creator>
  <cp:lastModifiedBy>Jaime Léo</cp:lastModifiedBy>
  <cp:revision>2</cp:revision>
  <cp:lastPrinted>2016-11-23T13:36:00Z</cp:lastPrinted>
  <dcterms:created xsi:type="dcterms:W3CDTF">2016-11-23T13:36:00Z</dcterms:created>
  <dcterms:modified xsi:type="dcterms:W3CDTF">2016-11-23T13:36:00Z</dcterms:modified>
  <cp:contentStatus>2012, 2013, 2014, 2015 e 2016</cp:contentStatus>
</cp:coreProperties>
</file>