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AE4E2C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AE4E2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660528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AE4E2C" w:rsidP="00AE4E2C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="008E3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julho </w:t>
            </w:r>
            <w:r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8E33DC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44DD9" w:rsidRDefault="004C08BE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44DD9" w:rsidRDefault="004C08BE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8E33DC" w:rsidRDefault="001748AF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="008E33DC"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 w:rsidR="004C08BE"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AE4E2C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AE4E2C" w:rsidRDefault="00AE4E2C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E4E2C" w:rsidRDefault="00AE4E2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4E2C" w:rsidRDefault="00AE4E2C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AE4E2C">
              <w:rPr>
                <w:rFonts w:ascii="Times New Roman" w:hAnsi="Times New Roman"/>
                <w:spacing w:val="4"/>
                <w:sz w:val="18"/>
                <w:szCs w:val="22"/>
              </w:rPr>
              <w:t>Vice-Presidente e Coordenador CED-CAU/RS</w:t>
            </w:r>
          </w:p>
        </w:tc>
      </w:tr>
      <w:tr w:rsidR="008E33DC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8E33DC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8E33DC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8E33DC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8E33DC" w:rsidRPr="00044DD9" w:rsidTr="00660528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8E33DC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4C08BE" w:rsidRPr="00044DD9" w:rsidTr="00660528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C08BE" w:rsidRPr="00044DD9" w:rsidRDefault="004C08BE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convidado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08BE" w:rsidRPr="008E33DC" w:rsidRDefault="004C08B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Ednezer Rodrigues Flores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8BE" w:rsidRPr="008E33DC" w:rsidRDefault="004C08B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4C08BE">
              <w:rPr>
                <w:rFonts w:ascii="Times New Roman" w:hAnsi="Times New Roman"/>
                <w:spacing w:val="4"/>
                <w:sz w:val="18"/>
                <w:szCs w:val="22"/>
              </w:rPr>
              <w:t>Conselheiro Federal, representante CAU/RS</w:t>
            </w:r>
          </w:p>
        </w:tc>
      </w:tr>
      <w:tr w:rsidR="008E33DC" w:rsidRPr="00044DD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8E33DC" w:rsidRPr="00044DD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  <w:r w:rsidR="001748AF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Geral</w:t>
            </w:r>
          </w:p>
        </w:tc>
      </w:tr>
      <w:tr w:rsidR="00AE4E2C" w:rsidRPr="00044DD9" w:rsidTr="00163A1B">
        <w:trPr>
          <w:trHeight w:hRule="exact" w:val="27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E4E2C" w:rsidRPr="00044DD9" w:rsidRDefault="00AE4E2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AE4E2C" w:rsidRDefault="00AE4E2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Gelson Benatti – Gerente de Planejamento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AE4E2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1748AF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78E1" w:rsidRPr="001748AF">
              <w:rPr>
                <w:rFonts w:ascii="Times New Roman" w:hAnsi="Times New Roman"/>
                <w:sz w:val="22"/>
                <w:szCs w:val="22"/>
              </w:rPr>
              <w:t>09h</w:t>
            </w:r>
            <w:r w:rsidR="00AE4E2C"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4C5183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C5183" w:rsidRDefault="008E33DC" w:rsidP="00AE4E2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14</w:t>
            </w:r>
            <w:r w:rsidR="00AE4E2C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1748AF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4C5183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4A5E4A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5E4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E778E1" w:rsidRDefault="001748AF" w:rsidP="004C08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C08BE">
              <w:rPr>
                <w:rFonts w:ascii="Times New Roman" w:eastAsia="MS Mincho" w:hAnsi="Times New Roman"/>
                <w:sz w:val="22"/>
                <w:szCs w:val="22"/>
              </w:rPr>
              <w:t xml:space="preserve">foi lida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aprovada</w:t>
            </w:r>
            <w:r w:rsidR="008E33DC" w:rsidRPr="00E778E1">
              <w:rPr>
                <w:rFonts w:ascii="Times New Roman" w:eastAsia="MS Mincho" w:hAnsi="Times New Roman"/>
                <w:sz w:val="22"/>
                <w:szCs w:val="22"/>
              </w:rPr>
              <w:t xml:space="preserve"> por todos, sem ressalvas. Após assinada, deve ser publicada no portal da transparência. </w:t>
            </w:r>
          </w:p>
        </w:tc>
      </w:tr>
    </w:tbl>
    <w:p w:rsidR="008E33DC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062788" w:rsidP="00062788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 w:rsidRPr="00062788">
              <w:rPr>
                <w:rFonts w:ascii="Times New Roman" w:eastAsia="MS Mincho" w:hAnsi="Times New Roman"/>
                <w:sz w:val="22"/>
                <w:szCs w:val="22"/>
              </w:rPr>
              <w:t xml:space="preserve">Pauta aprovada por todos os presentes, sem inclusões. 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8E33DC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8E33DC" w:rsidRPr="007F59A2" w:rsidRDefault="00062788" w:rsidP="000627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57EB">
              <w:rPr>
                <w:rFonts w:ascii="Times New Roman" w:hAnsi="Times New Roman"/>
                <w:b/>
                <w:sz w:val="22"/>
                <w:szCs w:val="22"/>
              </w:rPr>
              <w:t>Apresentação de estudo e propostas de implantação dos Escritórios Regionais</w:t>
            </w: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8E33DC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8E33DC" w:rsidRPr="009D6B96" w:rsidRDefault="008E33DC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8E33DC" w:rsidRPr="009D6B96" w:rsidRDefault="001100C5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E51B8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B3552E" w:rsidRDefault="001100C5" w:rsidP="00B355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de Atendimento e Fiscalização apresenta o material desenvolvido pelo grupo de trabalho, conforme estabelecia a Portaria Presidencial 019/2018</w:t>
            </w:r>
            <w:r w:rsidR="00B3552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C050CD" w:rsidRPr="00C05F5C" w:rsidRDefault="00B3552E" w:rsidP="00D544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552E">
              <w:rPr>
                <w:rFonts w:ascii="Times New Roman" w:hAnsi="Times New Roman"/>
                <w:sz w:val="22"/>
                <w:szCs w:val="22"/>
              </w:rPr>
              <w:t xml:space="preserve">Considerando o resultado dos estudos realizados, </w:t>
            </w:r>
            <w:r>
              <w:rPr>
                <w:rFonts w:ascii="Times New Roman" w:hAnsi="Times New Roman"/>
                <w:sz w:val="22"/>
                <w:szCs w:val="22"/>
              </w:rPr>
              <w:t>o GT sugere</w:t>
            </w:r>
            <w:r w:rsidRPr="00B3552E">
              <w:rPr>
                <w:rFonts w:ascii="Times New Roman" w:hAnsi="Times New Roman"/>
                <w:sz w:val="22"/>
                <w:szCs w:val="22"/>
              </w:rPr>
              <w:t xml:space="preserve"> que inicialmente seja implantado um escritório regional do CAU/RS como “escritório piloto”, que servirá como base para decisão sobre o melhor modelo a ser implantado nos outros escritórios.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3552E">
              <w:rPr>
                <w:rFonts w:ascii="Times New Roman" w:hAnsi="Times New Roman"/>
                <w:sz w:val="22"/>
                <w:szCs w:val="22"/>
              </w:rPr>
              <w:t>De acordo com o levantamento de dados, Caxias do Sul, Pelotas, Santa Maria e Passo Fundo são as cidades-</w:t>
            </w:r>
            <w:proofErr w:type="spellStart"/>
            <w:r w:rsidRPr="00B3552E">
              <w:rPr>
                <w:rFonts w:ascii="Times New Roman" w:hAnsi="Times New Roman"/>
                <w:sz w:val="22"/>
                <w:szCs w:val="22"/>
              </w:rPr>
              <w:t>pólo</w:t>
            </w:r>
            <w:proofErr w:type="spellEnd"/>
            <w:r w:rsidRPr="00B3552E">
              <w:rPr>
                <w:rFonts w:ascii="Times New Roman" w:hAnsi="Times New Roman"/>
                <w:sz w:val="22"/>
                <w:szCs w:val="22"/>
              </w:rPr>
              <w:t xml:space="preserve"> que devem receber os escritórios regionais. Cada uma dessas cidades tem peculiaridades que as fazem merecedoras da escolha. Caxias do Sul, por estar localizada na Serra Gaúcha, região densamente povoada e com um grande número de arquitetos e urbanistas. Pelotas, representando toda a região sul do Estado. Santa Maria, em posição estratégica, na região central do Estado, diminui a distância do CAU/RS à região Oeste do Estado. E Passo Fundo, a mais longínqua, abrangendo a Região Norte e parte da Serra.</w:t>
            </w:r>
            <w:r w:rsidR="00D54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Após debate, fica</w:t>
            </w:r>
            <w:r w:rsidR="00D54468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registrado os elogios ao trabalho realizado pelo grupo</w:t>
            </w:r>
            <w:r w:rsidR="00D54468">
              <w:rPr>
                <w:rFonts w:ascii="Times New Roman" w:hAnsi="Times New Roman"/>
                <w:sz w:val="22"/>
                <w:szCs w:val="22"/>
              </w:rPr>
              <w:t>, devido a excelência do mesmo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Sugere-se a análise quanto a possibilidade de utilização de prédio</w:t>
            </w:r>
            <w:r w:rsidR="00D54468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tombado</w:t>
            </w:r>
            <w:r w:rsidR="00D54468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prover a sede e que Santa Maria seja a primeira a sediar os escritórios regionais do CAU/RS. </w:t>
            </w:r>
            <w:r w:rsidR="00D54468">
              <w:rPr>
                <w:rFonts w:ascii="Times New Roman" w:hAnsi="Times New Roman"/>
                <w:sz w:val="22"/>
                <w:szCs w:val="22"/>
              </w:rPr>
              <w:t xml:space="preserve">Também se comenta que o grupo de trabalho deve desenvolver plano de implantação, a partir da aprovação da proposta no plenário. </w:t>
            </w:r>
            <w:r w:rsidR="00C050CD">
              <w:rPr>
                <w:rFonts w:ascii="Times New Roman" w:hAnsi="Times New Roman"/>
                <w:sz w:val="22"/>
                <w:szCs w:val="22"/>
              </w:rPr>
              <w:t xml:space="preserve">Fica estabelecido que na próxima reunião do Conselho Diretor, a ocorrer no dia 18/07, o tema deverá ser deliberado, para posterior envio ao plenário, dia 27/07. 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D02FD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D02FD" w:rsidRPr="00044DD9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8D02FD" w:rsidRPr="00A31B88" w:rsidRDefault="00062788" w:rsidP="008D02FD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157EB">
              <w:rPr>
                <w:rFonts w:ascii="Times New Roman" w:hAnsi="Times New Roman"/>
                <w:b/>
                <w:sz w:val="22"/>
                <w:szCs w:val="22"/>
              </w:rPr>
              <w:t>Patrimônio Histórico</w:t>
            </w: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062788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62788" w:rsidRDefault="00062788" w:rsidP="000627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62788" w:rsidRPr="00A31B88" w:rsidRDefault="00062788" w:rsidP="00062788">
            <w:pPr>
              <w:rPr>
                <w:rFonts w:ascii="Times New Roman" w:hAnsi="Times New Roman"/>
                <w:sz w:val="22"/>
                <w:szCs w:val="22"/>
              </w:rPr>
            </w:pPr>
            <w:r w:rsidRPr="00A31B88">
              <w:rPr>
                <w:rFonts w:ascii="Times New Roman" w:hAnsi="Times New Roman"/>
                <w:sz w:val="22"/>
                <w:szCs w:val="22"/>
              </w:rPr>
              <w:t xml:space="preserve">Comissão </w:t>
            </w:r>
            <w:r>
              <w:rPr>
                <w:rFonts w:ascii="Times New Roman" w:hAnsi="Times New Roman"/>
                <w:sz w:val="22"/>
                <w:szCs w:val="22"/>
              </w:rPr>
              <w:t>de Exercício Profissional</w:t>
            </w:r>
          </w:p>
        </w:tc>
      </w:tr>
      <w:tr w:rsidR="00062788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62788" w:rsidRDefault="00062788" w:rsidP="000627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062788" w:rsidRPr="00A31B88" w:rsidRDefault="00062788" w:rsidP="0006278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8D02FD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D02FD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8D02FD" w:rsidRPr="005B1AF6" w:rsidRDefault="00D54468" w:rsidP="00D544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Informe acerca do andamento das reuniões agendadas, sendo que a primeira deverá ocorrer hoje, a partir das 14h30.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Pr="00044DD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8E33DC" w:rsidRPr="007C678E" w:rsidRDefault="007C678E" w:rsidP="007C678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</w:rPr>
            </w:pPr>
            <w:r w:rsidRPr="007C678E">
              <w:rPr>
                <w:rFonts w:ascii="Times New Roman" w:hAnsi="Times New Roman"/>
                <w:b/>
                <w:sz w:val="22"/>
                <w:szCs w:val="20"/>
              </w:rPr>
              <w:t>Carta aos candidatos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Especial de Política Urbana e Ambiental</w:t>
            </w:r>
          </w:p>
        </w:tc>
      </w:tr>
      <w:tr w:rsidR="008E33DC" w:rsidRPr="009D6B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F37AFF" w:rsidRPr="00512C31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37AFF" w:rsidRDefault="00F37AFF" w:rsidP="00F37A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F37AFF" w:rsidRPr="00B21B46" w:rsidRDefault="00D54468" w:rsidP="00B21B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não pode comparecer à reunião. 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044DD9" w:rsidRDefault="00D54468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A1513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15133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>Processo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Administrativo</w:t>
            </w:r>
            <w:r w:rsidRPr="009E3259">
              <w:rPr>
                <w:rFonts w:ascii="Times New Roman" w:hAnsi="Times New Roman"/>
                <w:b/>
                <w:sz w:val="22"/>
                <w:szCs w:val="22"/>
              </w:rPr>
              <w:t xml:space="preserve"> 224/2018</w:t>
            </w: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Presidência</w:t>
            </w:r>
          </w:p>
        </w:tc>
      </w:tr>
      <w:tr w:rsidR="00A15133" w:rsidRPr="009D6B96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Rui Mineiro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Pr="00D54468" w:rsidRDefault="00D54468" w:rsidP="00DA3211">
            <w:pP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O conselheiro relata acerca da entrega da proposta de TAC ao empregado</w:t>
            </w:r>
            <w:r w:rsidR="00DA3211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e que a reunião de retorno deve ocorrer na próxima segunda-feira, 16 de julho, quando encerra o prazo de 30 dias concedido na reunião ocorrida em 15 de junho de 2018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15133" w:rsidRPr="00512C31" w:rsidTr="00A15133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15133" w:rsidRPr="00A15133" w:rsidRDefault="00A15133" w:rsidP="00A93AAB">
            <w:pP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3DC" w:rsidRPr="00044DD9" w:rsidRDefault="00D54468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8E33D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E33DC" w:rsidRPr="009D6B96" w:rsidRDefault="007C678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678E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Plano de Cargos e Salários</w:t>
            </w:r>
            <w:r w:rsidR="00A93AAB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 e Acordo Coletivo</w:t>
            </w:r>
          </w:p>
        </w:tc>
      </w:tr>
      <w:tr w:rsidR="008E33DC" w:rsidRPr="00044DD9" w:rsidTr="00A15133">
        <w:tc>
          <w:tcPr>
            <w:tcW w:w="2155" w:type="dxa"/>
            <w:tcBorders>
              <w:top w:val="single" w:sz="4" w:space="0" w:color="BFBFBF" w:themeColor="background1" w:themeShade="BF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</w:tcBorders>
            <w:vAlign w:val="center"/>
          </w:tcPr>
          <w:p w:rsidR="008E33DC" w:rsidRPr="009D6B96" w:rsidRDefault="008E33DC" w:rsidP="007C67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</w:t>
            </w:r>
            <w:r w:rsidR="007C678E">
              <w:rPr>
                <w:rFonts w:ascii="Times New Roman" w:hAnsi="Times New Roman"/>
                <w:sz w:val="22"/>
                <w:szCs w:val="22"/>
              </w:rPr>
              <w:t>Organização e Administração</w:t>
            </w:r>
          </w:p>
        </w:tc>
      </w:tr>
      <w:tr w:rsidR="008E33DC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9D6B96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3D3832" w:rsidRPr="00044DD9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D3832" w:rsidRDefault="003D3832" w:rsidP="003D38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D3832" w:rsidRDefault="00DA3211" w:rsidP="00A93AA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que 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tema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93AAB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m sendo desenvolvido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pela comissão, devendo ser concluído</w:t>
            </w:r>
            <w:r w:rsidR="00A93AAB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amanhã, quando haverá reunião estendida da COA-CAU/RS, das 09 às 17 horas.</w:t>
            </w:r>
            <w:r w:rsidR="00A93AAB">
              <w:rPr>
                <w:rFonts w:ascii="Times New Roman" w:hAnsi="Times New Roman"/>
                <w:sz w:val="22"/>
                <w:szCs w:val="22"/>
              </w:rPr>
              <w:t xml:space="preserve"> Definição, na próxima quarta-feira, de data para reunião estendida da </w:t>
            </w:r>
            <w:proofErr w:type="spellStart"/>
            <w:r w:rsidR="00A93AAB">
              <w:rPr>
                <w:rFonts w:ascii="Times New Roman" w:hAnsi="Times New Roman"/>
                <w:sz w:val="22"/>
                <w:szCs w:val="22"/>
              </w:rPr>
              <w:t>CPFi</w:t>
            </w:r>
            <w:proofErr w:type="spellEnd"/>
            <w:r w:rsidR="00A93AAB">
              <w:rPr>
                <w:rFonts w:ascii="Times New Roman" w:hAnsi="Times New Roman"/>
                <w:sz w:val="22"/>
                <w:szCs w:val="22"/>
              </w:rPr>
              <w:t>-CAU/RS para vencimento das pautas de PCS e Acordo Coletivo.</w:t>
            </w:r>
          </w:p>
        </w:tc>
      </w:tr>
    </w:tbl>
    <w:p w:rsidR="001165F1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397661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D3832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44DD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A15133" w:rsidRDefault="00A15133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5133">
              <w:rPr>
                <w:rFonts w:ascii="Times New Roman" w:hAnsi="Times New Roman"/>
                <w:b/>
                <w:sz w:val="22"/>
                <w:szCs w:val="22"/>
              </w:rPr>
              <w:t>Planejamento</w:t>
            </w:r>
          </w:p>
        </w:tc>
      </w:tr>
      <w:tr w:rsidR="00397661" w:rsidRPr="00044DD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44DD9" w:rsidRDefault="00293EAC" w:rsidP="003D38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9492F" w:rsidRDefault="00A93AAB" w:rsidP="00BE26B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Escritórios Regionais</w:t>
            </w:r>
          </w:p>
        </w:tc>
      </w:tr>
      <w:tr w:rsidR="000C12D1" w:rsidRPr="00A93AAB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A93AAB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A93AAB" w:rsidRDefault="00A93AAB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1165F1" w:rsidRPr="00A93AAB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93AAB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9492F" w:rsidRDefault="00A93AAB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Proposta 002/2018 – PRES - Cedência Veículos não utilizados, mediante Termo de Cessão de Uso.</w:t>
            </w:r>
          </w:p>
        </w:tc>
      </w:tr>
      <w:tr w:rsidR="001165F1" w:rsidRPr="00A15133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A15133" w:rsidRDefault="001165F1" w:rsidP="000932C8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09492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A15133" w:rsidRDefault="00A93AAB" w:rsidP="000932C8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1165F1" w:rsidRPr="00A15133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397661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397661" w:rsidRDefault="006A1CA9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15133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15133" w:rsidRDefault="00A15133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A15133" w:rsidRPr="007F50AE" w:rsidRDefault="00A15133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A1CA9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6A1CA9" w:rsidRPr="0005723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 xml:space="preserve">Cedência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Veículos não utilizados </w:t>
            </w: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 xml:space="preserve">(Termo de Fomento entre os </w:t>
            </w:r>
            <w:proofErr w:type="spellStart"/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CAUs</w:t>
            </w:r>
            <w:proofErr w:type="spellEnd"/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A15133" w:rsidRPr="00044DD9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A15133" w:rsidRPr="00044DD9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Pr="007F3E43" w:rsidRDefault="00A15133" w:rsidP="00A151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3E43">
              <w:rPr>
                <w:rFonts w:ascii="Times New Roman" w:hAnsi="Times New Roman"/>
                <w:sz w:val="22"/>
                <w:szCs w:val="22"/>
              </w:rPr>
              <w:t xml:space="preserve">O presidente Tiago apresenta a 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 xml:space="preserve">PROPOSTA </w:t>
            </w:r>
            <w:r w:rsidR="007F3E43"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 w:rsidRPr="007F3E43">
              <w:rPr>
                <w:rFonts w:ascii="Times New Roman" w:hAnsi="Times New Roman"/>
                <w:sz w:val="22"/>
                <w:szCs w:val="22"/>
              </w:rPr>
              <w:t>002/2018-PRES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 xml:space="preserve"> que trata da </w:t>
            </w:r>
            <w:r w:rsidR="007F3E43">
              <w:rPr>
                <w:rFonts w:ascii="Times New Roman" w:hAnsi="Times New Roman"/>
                <w:sz w:val="22"/>
                <w:szCs w:val="22"/>
              </w:rPr>
              <w:t xml:space="preserve">sugestão </w:t>
            </w:r>
            <w:r w:rsidR="007F3E43" w:rsidRPr="007F3E43">
              <w:rPr>
                <w:rFonts w:ascii="Times New Roman" w:hAnsi="Times New Roman"/>
                <w:sz w:val="22"/>
                <w:szCs w:val="22"/>
              </w:rPr>
              <w:t>de cedência dos quatro veículos não utilizados pelo CAU/RS, que são aqueles adquiridos em 2014, mediante termo de cessão de uso.</w:t>
            </w:r>
          </w:p>
          <w:p w:rsidR="00A15133" w:rsidRDefault="007F3E43" w:rsidP="007F3E4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é bem recebida pelos demais membros do Conselho Diretor e deve ser pautada</w:t>
            </w:r>
            <w:r w:rsidR="00A15133">
              <w:rPr>
                <w:rFonts w:ascii="Times New Roman" w:hAnsi="Times New Roman"/>
                <w:sz w:val="22"/>
                <w:szCs w:val="22"/>
              </w:rPr>
              <w:t xml:space="preserve"> na ordem do dia da próxima reunião, para deliberação, com modelo do termo de cessão de uso e embasamento legal necessá</w:t>
            </w:r>
            <w:r w:rsidR="002C5E16">
              <w:rPr>
                <w:rFonts w:ascii="Times New Roman" w:hAnsi="Times New Roman"/>
                <w:sz w:val="22"/>
                <w:szCs w:val="22"/>
              </w:rPr>
              <w:t>rio para viabilizar a efetivação da proposta, tendo em vista a necessidade de aprovação do plenário</w:t>
            </w:r>
            <w:r>
              <w:rPr>
                <w:rFonts w:ascii="Times New Roman" w:hAnsi="Times New Roman"/>
                <w:sz w:val="22"/>
                <w:szCs w:val="22"/>
              </w:rPr>
              <w:t>, em 27 de julho de 2018</w:t>
            </w:r>
            <w:r w:rsidR="002C5E1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93AAB" w:rsidRPr="00A93AAB" w:rsidTr="00A93AAB">
        <w:tc>
          <w:tcPr>
            <w:tcW w:w="215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A93AAB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A93AAB" w:rsidRPr="007F3E43" w:rsidRDefault="00A93AAB" w:rsidP="00A93AA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8E33D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8E33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Planejamento</w:t>
            </w:r>
          </w:p>
        </w:tc>
      </w:tr>
      <w:tr w:rsidR="00A15133" w:rsidRPr="0005723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15133" w:rsidRDefault="00A15133" w:rsidP="00A1513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Luiz Benatti</w:t>
            </w:r>
          </w:p>
        </w:tc>
      </w:tr>
      <w:tr w:rsidR="00A15133" w:rsidRPr="00A31405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5133" w:rsidRPr="00A31405" w:rsidRDefault="00A15133" w:rsidP="00A1513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5133" w:rsidRDefault="00A15133" w:rsidP="002C5E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de planejamento apresenta modelo de gestão estratégica do CAU/RS para a gestão atual. Define-se que o material será encaminhado a todos, com a listagem dos projetos, de acordo com a plataforma e gestão e deve ser pautado para a próxima semana, para deliberação do Conselho Diretor. </w:t>
            </w:r>
          </w:p>
        </w:tc>
      </w:tr>
    </w:tbl>
    <w:p w:rsidR="00BF4680" w:rsidRDefault="00BF4680" w:rsidP="00BF4680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4E7C5B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4E7C5B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50AE">
              <w:rPr>
                <w:rFonts w:ascii="Times New Roman" w:hAnsi="Times New Roman"/>
                <w:b/>
                <w:sz w:val="22"/>
                <w:szCs w:val="22"/>
              </w:rPr>
              <w:t>Processo de Fiscalizaç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ão – Auto de Infração nº 1000024865/2015 </w:t>
            </w:r>
          </w:p>
          <w:p w:rsidR="006A1CA9" w:rsidRPr="00C05F5C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(Recurso julgado pelo CAU/BR)</w:t>
            </w:r>
          </w:p>
        </w:tc>
      </w:tr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A31405" w:rsidRDefault="00093FB6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A93AAB" w:rsidRPr="00A93AAB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93AAB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93AA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A93AAB" w:rsidRDefault="00093FB6" w:rsidP="00A93A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AAB">
              <w:rPr>
                <w:rFonts w:ascii="Times New Roman" w:hAnsi="Times New Roman"/>
                <w:sz w:val="22"/>
                <w:szCs w:val="22"/>
              </w:rPr>
              <w:t>O Conselheiro apresenta situação ocorrida no processo acima referido,</w:t>
            </w:r>
            <w:r w:rsidR="002F1E91" w:rsidRPr="00A93AAB">
              <w:rPr>
                <w:rFonts w:ascii="Times New Roman" w:hAnsi="Times New Roman"/>
                <w:sz w:val="22"/>
                <w:szCs w:val="22"/>
              </w:rPr>
              <w:t xml:space="preserve"> no qual</w:t>
            </w:r>
            <w:r w:rsidR="00A93AAB" w:rsidRPr="00A93AAB">
              <w:rPr>
                <w:rFonts w:ascii="Times New Roman" w:hAnsi="Times New Roman"/>
                <w:sz w:val="22"/>
                <w:szCs w:val="22"/>
              </w:rPr>
              <w:t xml:space="preserve"> a CEP-CAU/RS verificou que pode ter havido um equívoco na decisão exarada pela CEP-CAU/BR e, consequentemente, pelo Plenário. Após debate, define-se que o CAU/RS, conforme relatório da Assessoria Técnica da CEP-CAU/RS, encaminhará ofício ao CAU/BR para esclarecer a situação. </w:t>
            </w:r>
          </w:p>
        </w:tc>
      </w:tr>
    </w:tbl>
    <w:p w:rsidR="006A1CA9" w:rsidRPr="00A93AAB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44DD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44DD9" w:rsidRDefault="00A93AAB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6A1CA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C05F5C" w:rsidRDefault="004E7C5B" w:rsidP="004E7C5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Abertura de Sindicância conforme Deliberação Plenária nº 842/2017</w:t>
            </w:r>
          </w:p>
        </w:tc>
      </w:tr>
      <w:tr w:rsidR="006A1CA9" w:rsidRPr="00A31405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A31405" w:rsidRDefault="004E7C5B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6A1CA9" w:rsidRPr="00A3140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A31405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6A1CA9" w:rsidRPr="00A31405" w:rsidRDefault="001100C5" w:rsidP="001100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Será encaminhada a abertura da sindicância, da qual o conselheiro Paulo Fernando do Amaral Fontana</w:t>
            </w:r>
            <w:r w:rsidR="0047423D">
              <w:rPr>
                <w:rFonts w:ascii="Times New Roman" w:hAnsi="Times New Roman"/>
                <w:sz w:val="22"/>
                <w:szCs w:val="22"/>
              </w:rPr>
              <w:t xml:space="preserve"> será o sindicante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090E73" w:rsidRDefault="00090E7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93AAB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93AAB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A93AAB" w:rsidRPr="007F50AE" w:rsidRDefault="00A93AAB" w:rsidP="00A93A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 Federal</w:t>
            </w:r>
          </w:p>
        </w:tc>
      </w:tr>
      <w:tr w:rsidR="00A93AAB" w:rsidRPr="00044DD9" w:rsidTr="00A93AAB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93AAB" w:rsidRPr="00044DD9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A93AAB" w:rsidRPr="0005723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Relato de atividades </w:t>
            </w:r>
          </w:p>
        </w:tc>
      </w:tr>
      <w:tr w:rsidR="00A93AAB" w:rsidRPr="00044DD9" w:rsidTr="00A93AAB">
        <w:trPr>
          <w:trHeight w:val="60"/>
        </w:trPr>
        <w:tc>
          <w:tcPr>
            <w:tcW w:w="215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3AAB" w:rsidRPr="00A3140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93AAB" w:rsidRDefault="00A93AAB" w:rsidP="00A93A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Ednezer Rodrigues Flores</w:t>
            </w:r>
          </w:p>
        </w:tc>
      </w:tr>
      <w:tr w:rsidR="00A93AAB" w:rsidRPr="00044DD9" w:rsidTr="00A93AAB"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93AAB" w:rsidRPr="00A31405" w:rsidRDefault="00A93AAB" w:rsidP="00A93A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40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93AAB" w:rsidRDefault="00A93AAB" w:rsidP="00A93A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nas quais tem trabalhado junto ao CAU/BR, tanto na COA-CAU/BR, quanto na Comissão Eleitoral Nacional. </w:t>
            </w:r>
          </w:p>
        </w:tc>
      </w:tr>
    </w:tbl>
    <w:p w:rsidR="00A93AAB" w:rsidRDefault="00A93AAB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E35A96" w:rsidRDefault="0009492F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Comissões Permanentes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09492F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09492F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informa acerca das atividades da Comissão. </w:t>
            </w:r>
          </w:p>
        </w:tc>
      </w:tr>
    </w:tbl>
    <w:p w:rsidR="006A1CA9" w:rsidRPr="00E35A96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relata acerca das atividades da comissão, salientando o apoio </w:t>
            </w:r>
            <w:r w:rsidR="00E35A96" w:rsidRPr="00E35A96">
              <w:rPr>
                <w:rFonts w:ascii="Times New Roman" w:hAnsi="Times New Roman"/>
                <w:sz w:val="22"/>
                <w:szCs w:val="22"/>
              </w:rPr>
              <w:t xml:space="preserve">da CEF </w:t>
            </w:r>
            <w:r w:rsidRPr="00E35A96">
              <w:rPr>
                <w:rFonts w:ascii="Times New Roman" w:hAnsi="Times New Roman"/>
                <w:sz w:val="22"/>
                <w:szCs w:val="22"/>
              </w:rPr>
              <w:t>para a realização do Seminário de Ensino, a ocorrer na próxima semana.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E35A96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09492F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09492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Ética e Disciplina</w:t>
            </w:r>
          </w:p>
        </w:tc>
      </w:tr>
      <w:tr w:rsidR="0009492F" w:rsidRPr="00E35A96" w:rsidTr="00A90B6B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09492F" w:rsidRPr="00E35A96" w:rsidRDefault="000D5C4D" w:rsidP="000D5C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09492F" w:rsidRPr="00E35A96" w:rsidTr="00A90B6B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9492F" w:rsidRPr="00E35A96" w:rsidRDefault="0009492F" w:rsidP="00A90B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492F" w:rsidRPr="00E35A96" w:rsidRDefault="0009492F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das atividades da comissão</w:t>
            </w:r>
            <w:r w:rsidR="00E35A96" w:rsidRPr="00E35A96">
              <w:rPr>
                <w:rFonts w:ascii="Times New Roman" w:hAnsi="Times New Roman"/>
                <w:sz w:val="22"/>
                <w:szCs w:val="22"/>
              </w:rPr>
              <w:t xml:space="preserve"> e salienta sua preocupação com o andamento dos trabalhos do Sistema de Gestão Integrada. </w:t>
            </w:r>
          </w:p>
        </w:tc>
      </w:tr>
    </w:tbl>
    <w:p w:rsidR="0009492F" w:rsidRPr="00E35A96" w:rsidRDefault="0009492F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E35A96" w:rsidRPr="00E35A96" w:rsidRDefault="00E35A96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3C5BC2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165F1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E35A96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1100C5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E35A96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1165F1" w:rsidRPr="00E35A96" w:rsidRDefault="00E35A96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O conselheiro relata acerca do andamento das atividades da Comissão.</w:t>
            </w:r>
          </w:p>
        </w:tc>
      </w:tr>
    </w:tbl>
    <w:p w:rsidR="001165F1" w:rsidRPr="001100C5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3C5BC2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A1CA9" w:rsidRPr="00E35A9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E35A96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E35A96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E35A96" w:rsidRDefault="0060004D" w:rsidP="00E35A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comenta </w:t>
            </w:r>
            <w:r w:rsidR="00E35A96">
              <w:rPr>
                <w:rFonts w:ascii="Times New Roman" w:hAnsi="Times New Roman"/>
                <w:sz w:val="22"/>
                <w:szCs w:val="22"/>
              </w:rPr>
              <w:t>acerca das atividades da comissão.</w:t>
            </w:r>
            <w:r w:rsidR="00BC2461" w:rsidRPr="00E35A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CA9" w:rsidRPr="001100C5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E35A96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35A96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93" w:type="dxa"/>
          </w:tcPr>
          <w:p w:rsidR="006A1CA9" w:rsidRPr="00E35A96" w:rsidRDefault="00BC246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5A96">
              <w:rPr>
                <w:rFonts w:ascii="Times New Roman" w:hAnsi="Times New Roman"/>
                <w:sz w:val="22"/>
                <w:szCs w:val="22"/>
              </w:rPr>
              <w:t xml:space="preserve">Somente informe. </w:t>
            </w:r>
          </w:p>
        </w:tc>
      </w:tr>
    </w:tbl>
    <w:p w:rsidR="006E3624" w:rsidRPr="001100C5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B674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B674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143ª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A96">
      <w:rPr>
        <w:rFonts w:ascii="DaxCondensed" w:hAnsi="DaxCondensed" w:cs="Arial"/>
        <w:color w:val="386C71"/>
        <w:sz w:val="20"/>
        <w:szCs w:val="20"/>
      </w:rPr>
      <w:t xml:space="preserve">SÚMULA DA 143ª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1DFC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A3A05"/>
    <w:rsid w:val="001B01D5"/>
    <w:rsid w:val="001B5148"/>
    <w:rsid w:val="001B5F62"/>
    <w:rsid w:val="001D420A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B6741"/>
    <w:rsid w:val="003C3C3A"/>
    <w:rsid w:val="003C484E"/>
    <w:rsid w:val="003C5BC2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7423D"/>
    <w:rsid w:val="00483414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3E43"/>
    <w:rsid w:val="007F59A2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696"/>
    <w:rsid w:val="00890C7F"/>
    <w:rsid w:val="00895B77"/>
    <w:rsid w:val="008A2EE4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C1371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F4680"/>
    <w:rsid w:val="00C038EA"/>
    <w:rsid w:val="00C050CD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213CD"/>
    <w:rsid w:val="00D24E51"/>
    <w:rsid w:val="00D316A9"/>
    <w:rsid w:val="00D32E81"/>
    <w:rsid w:val="00D43467"/>
    <w:rsid w:val="00D54468"/>
    <w:rsid w:val="00D54E3A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60DC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610-626F-4E86-8A6A-C9DF2FFD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5</Pages>
  <Words>1292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78</cp:revision>
  <cp:lastPrinted>2018-07-18T13:12:00Z</cp:lastPrinted>
  <dcterms:created xsi:type="dcterms:W3CDTF">2017-12-20T18:28:00Z</dcterms:created>
  <dcterms:modified xsi:type="dcterms:W3CDTF">2018-07-18T17:29:00Z</dcterms:modified>
</cp:coreProperties>
</file>