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B16E6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73488C">
            <w:pPr>
              <w:keepNext/>
              <w:spacing w:before="60" w:after="60"/>
              <w:jc w:val="both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A31405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134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AF1451" w:rsidRDefault="00AF1451" w:rsidP="0073488C">
      <w:pPr>
        <w:jc w:val="both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2126"/>
        <w:gridCol w:w="3544"/>
        <w:gridCol w:w="1280"/>
        <w:gridCol w:w="2264"/>
      </w:tblGrid>
      <w:tr w:rsidR="007E57BA" w:rsidRPr="004C5183" w:rsidTr="00B16E67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A31405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28 de fevereiro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2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B16E67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0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73488C">
      <w:pPr>
        <w:jc w:val="both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4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544"/>
        <w:gridCol w:w="3544"/>
      </w:tblGrid>
      <w:tr w:rsidR="00663F47" w:rsidRPr="00044DD9" w:rsidTr="00B16E67">
        <w:trPr>
          <w:trHeight w:hRule="exact" w:val="284"/>
        </w:trPr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Thiago Holzmann da Silva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Presidente</w:t>
            </w:r>
          </w:p>
        </w:tc>
      </w:tr>
      <w:tr w:rsidR="00663F47" w:rsidRPr="00044DD9" w:rsidTr="00B16E67">
        <w:trPr>
          <w:trHeight w:hRule="exact" w:val="284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DC24A8" w:rsidRDefault="00DC24A8" w:rsidP="00DC24A8">
            <w:pPr>
              <w:rPr>
                <w:rFonts w:ascii="Times New Roman" w:hAnsi="Times New Roman"/>
                <w:spacing w:val="4"/>
                <w:sz w:val="16"/>
                <w:szCs w:val="22"/>
              </w:rPr>
            </w:pPr>
            <w:r w:rsidRPr="00DC24A8">
              <w:rPr>
                <w:rFonts w:ascii="Times New Roman" w:hAnsi="Times New Roman"/>
                <w:spacing w:val="4"/>
                <w:sz w:val="16"/>
                <w:szCs w:val="22"/>
              </w:rPr>
              <w:t xml:space="preserve">Vice-Presidente e Coordenador </w:t>
            </w:r>
            <w:r w:rsidR="00663F47" w:rsidRPr="00DC24A8">
              <w:rPr>
                <w:rFonts w:ascii="Times New Roman" w:hAnsi="Times New Roman"/>
                <w:spacing w:val="4"/>
                <w:sz w:val="16"/>
                <w:szCs w:val="22"/>
              </w:rPr>
              <w:t>CED-CAU/RS</w:t>
            </w:r>
          </w:p>
        </w:tc>
      </w:tr>
      <w:tr w:rsidR="00663F47" w:rsidRPr="00044DD9" w:rsidTr="00B16E67">
        <w:trPr>
          <w:trHeight w:hRule="exact" w:val="337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663F47" w:rsidRPr="00044DD9" w:rsidTr="00B16E67">
        <w:trPr>
          <w:trHeight w:hRule="exact" w:val="285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63F47" w:rsidRPr="00044DD9" w:rsidRDefault="00663F47" w:rsidP="0073488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73488C" w:rsidP="0073488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Oritz Adriano Adams de </w:t>
            </w:r>
            <w:r w:rsidR="00663F47">
              <w:rPr>
                <w:rFonts w:ascii="Times New Roman" w:hAnsi="Times New Roman"/>
                <w:spacing w:val="4"/>
                <w:sz w:val="22"/>
                <w:szCs w:val="22"/>
              </w:rPr>
              <w:t>Campos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663F47" w:rsidRPr="00044DD9" w:rsidTr="00B16E67">
        <w:trPr>
          <w:trHeight w:hRule="exact" w:val="275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63F47" w:rsidRPr="00044DD9" w:rsidRDefault="00663F47" w:rsidP="0073488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663F47" w:rsidRPr="00044DD9" w:rsidTr="00B16E67">
        <w:trPr>
          <w:trHeight w:hRule="exact" w:val="275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63F47" w:rsidRPr="00044DD9" w:rsidRDefault="00663F47" w:rsidP="0073488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63F47" w:rsidRDefault="00663F47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Priscila Terra Quesada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F47" w:rsidRDefault="00663F47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CPFI-CAU/RS</w:t>
            </w:r>
          </w:p>
        </w:tc>
      </w:tr>
      <w:tr w:rsidR="00663F47" w:rsidRPr="00044DD9" w:rsidTr="00B16E67">
        <w:trPr>
          <w:trHeight w:hRule="exact" w:val="279"/>
        </w:trPr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63F47" w:rsidRPr="00044DD9" w:rsidRDefault="00663F47" w:rsidP="0073488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F47" w:rsidRPr="00044DD9" w:rsidRDefault="00663F47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F224AD" w:rsidRPr="00044DD9" w:rsidTr="00B16E67">
        <w:trPr>
          <w:trHeight w:hRule="exact" w:val="298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73488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F224AD" w:rsidRPr="00044DD9" w:rsidRDefault="00163A1B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Josiane Bernardi – Chefe de Gabinete</w:t>
            </w:r>
          </w:p>
        </w:tc>
      </w:tr>
      <w:tr w:rsidR="00F224AD" w:rsidRPr="00044DD9" w:rsidTr="00B16E67">
        <w:trPr>
          <w:trHeight w:hRule="exact" w:val="273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73488C">
            <w:pPr>
              <w:spacing w:before="40" w:after="40"/>
              <w:jc w:val="both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F224AD" w:rsidRPr="00044DD9" w:rsidRDefault="00163A1B" w:rsidP="0073488C">
            <w:pPr>
              <w:jc w:val="both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31405">
              <w:rPr>
                <w:rFonts w:ascii="Times New Roman" w:hAnsi="Times New Roman"/>
                <w:spacing w:val="4"/>
                <w:sz w:val="22"/>
                <w:szCs w:val="22"/>
              </w:rPr>
              <w:t>Tales Völker – Gerente Geral</w:t>
            </w:r>
          </w:p>
        </w:tc>
      </w:tr>
    </w:tbl>
    <w:p w:rsidR="00AF1451" w:rsidRDefault="00AF1451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73488C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DC24A8">
        <w:trPr>
          <w:trHeight w:val="33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093" w:type="dxa"/>
            <w:vAlign w:val="center"/>
          </w:tcPr>
          <w:p w:rsidR="00AF1451" w:rsidRPr="00044DD9" w:rsidRDefault="00B12E15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às </w:t>
            </w:r>
            <w:r>
              <w:rPr>
                <w:rFonts w:ascii="Times New Roman" w:hAnsi="Times New Roman"/>
                <w:sz w:val="22"/>
                <w:szCs w:val="22"/>
              </w:rPr>
              <w:t>09h43.</w:t>
            </w:r>
          </w:p>
        </w:tc>
      </w:tr>
    </w:tbl>
    <w:p w:rsidR="00397661" w:rsidRDefault="00397661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2126"/>
        <w:gridCol w:w="7075"/>
        <w:gridCol w:w="18"/>
      </w:tblGrid>
      <w:tr w:rsidR="002E6EE5" w:rsidRPr="004C5183" w:rsidTr="002E6EE5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EE5" w:rsidRPr="004C5183" w:rsidRDefault="002E6EE5" w:rsidP="0073488C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132ª </w:t>
            </w:r>
            <w:r w:rsidRPr="00F41C79">
              <w:rPr>
                <w:rFonts w:ascii="Times New Roman" w:hAnsi="Times New Roman"/>
                <w:b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133</w:t>
            </w:r>
            <w:r w:rsidRPr="00F41C79">
              <w:rPr>
                <w:rFonts w:ascii="Times New Roman" w:hAnsi="Times New Roman"/>
                <w:b/>
                <w:sz w:val="22"/>
                <w:szCs w:val="22"/>
              </w:rPr>
              <w:t>ª reuniões ordinárias</w:t>
            </w:r>
          </w:p>
        </w:tc>
      </w:tr>
      <w:tr w:rsidR="002E6EE5" w:rsidRPr="004C5183" w:rsidTr="00DC24A8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EE5" w:rsidRPr="004C5183" w:rsidRDefault="002E6EE5" w:rsidP="007348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EE5" w:rsidRPr="004C5183" w:rsidRDefault="00663F47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 súmulas encaminhadas previamente não foram apreciadas pelos membros do Conselho Diretor.</w:t>
            </w:r>
          </w:p>
        </w:tc>
      </w:tr>
      <w:tr w:rsidR="002E6EE5" w:rsidRPr="004C5183" w:rsidTr="00DC24A8">
        <w:trPr>
          <w:gridAfter w:val="1"/>
          <w:wAfter w:w="18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EE5" w:rsidRPr="004C5183" w:rsidRDefault="002E6EE5" w:rsidP="007348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EE5" w:rsidRPr="004C5183" w:rsidRDefault="00663F47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As súmulas deverão ser aprovadas na </w:t>
            </w:r>
            <w:r w:rsidR="00B12E15">
              <w:rPr>
                <w:rFonts w:ascii="Times New Roman" w:eastAsia="MS Mincho" w:hAnsi="Times New Roman"/>
                <w:sz w:val="22"/>
                <w:szCs w:val="22"/>
              </w:rPr>
              <w:t>próxima reunião.</w:t>
            </w:r>
          </w:p>
        </w:tc>
      </w:tr>
    </w:tbl>
    <w:p w:rsidR="002E6EE5" w:rsidRDefault="002E6EE5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01" w:type="dxa"/>
        <w:tblInd w:w="137" w:type="dxa"/>
        <w:tblLook w:val="04A0" w:firstRow="1" w:lastRow="0" w:firstColumn="1" w:lastColumn="0" w:noHBand="0" w:noVBand="1"/>
      </w:tblPr>
      <w:tblGrid>
        <w:gridCol w:w="2126"/>
        <w:gridCol w:w="7075"/>
      </w:tblGrid>
      <w:tr w:rsidR="004C4274" w:rsidRPr="004C5183" w:rsidTr="00B16E67">
        <w:tc>
          <w:tcPr>
            <w:tcW w:w="92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CC3664" w:rsidRDefault="004C4274" w:rsidP="0073488C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C366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CC3664"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="00663F47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  <w:r w:rsidRPr="00CC3664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</w:p>
        </w:tc>
      </w:tr>
      <w:tr w:rsidR="004C4274" w:rsidRPr="004C5183" w:rsidTr="00B16E67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4C5183" w:rsidRDefault="004C4274" w:rsidP="007348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4C5183" w:rsidRDefault="004C4274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Relatos das Comissões</w:t>
            </w:r>
          </w:p>
        </w:tc>
      </w:tr>
      <w:tr w:rsidR="004C4274" w:rsidRPr="004C5183" w:rsidTr="00B16E67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4C5183" w:rsidRDefault="004C4274" w:rsidP="007348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4C5183" w:rsidRDefault="004C4274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Coordenadores</w:t>
            </w:r>
          </w:p>
        </w:tc>
      </w:tr>
      <w:tr w:rsidR="004C4274" w:rsidRPr="004C5183" w:rsidTr="00B16E67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4C5183" w:rsidRDefault="004C4274" w:rsidP="007348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4C5183" w:rsidRDefault="004C4274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Revisão da IN sobre processo de cobrança de anuidades</w:t>
            </w:r>
          </w:p>
        </w:tc>
      </w:tr>
      <w:tr w:rsidR="004C4274" w:rsidRPr="004C5183" w:rsidTr="00B16E67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4C5183" w:rsidRDefault="004C4274" w:rsidP="0073488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4C5183" w:rsidRDefault="004C4274" w:rsidP="007348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</w:tr>
    </w:tbl>
    <w:p w:rsidR="004C4274" w:rsidRDefault="004C4274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AF1451" w:rsidRPr="00397661" w:rsidTr="0068154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397661" w:rsidRDefault="00AF1451" w:rsidP="0073488C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CC3664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C3664" w:rsidRPr="00044DD9" w:rsidRDefault="00CC3664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CC3664" w:rsidRPr="00057235" w:rsidRDefault="00CC3664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C6BBF">
              <w:rPr>
                <w:rFonts w:ascii="Times New Roman" w:hAnsi="Times New Roman"/>
                <w:b/>
                <w:sz w:val="22"/>
                <w:szCs w:val="22"/>
              </w:rPr>
              <w:t>Participação do CAU/RS na Plenária Ampliada do CAU/BR;</w:t>
            </w:r>
          </w:p>
        </w:tc>
      </w:tr>
      <w:tr w:rsidR="00CC3664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C3664" w:rsidRDefault="00CC3664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CC3664" w:rsidRPr="00057235" w:rsidRDefault="00CC3664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CC3664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C3664" w:rsidRPr="00A31405" w:rsidRDefault="00CC3664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CC3664" w:rsidRPr="00057235" w:rsidRDefault="00CC3664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CC3664" w:rsidRPr="00044DD9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C3664" w:rsidRPr="00A31405" w:rsidRDefault="00CC3664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CC3664" w:rsidRPr="00A31405" w:rsidRDefault="00B12E15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relata que participou de reunião do fórum de presidentes em Brasília, na última quinta-feira, na qual foram apresentados diversos assuntos dos CAU/UF, além de tratar acerca da formalização do Fórum de Presidentes. Também informa que participou da plenária ampliada do CAU/BR na última sexta-feira, salientando que o CAU/RS ficou representante do CG-CSC, juntamente com o CAU/MS e o CAU/PE. Na ocasião, também </w:t>
            </w:r>
            <w:r w:rsidR="004C4274">
              <w:rPr>
                <w:rFonts w:ascii="Times New Roman" w:hAnsi="Times New Roman"/>
                <w:sz w:val="22"/>
                <w:szCs w:val="22"/>
              </w:rPr>
              <w:t xml:space="preserve">se </w:t>
            </w:r>
            <w:r>
              <w:rPr>
                <w:rFonts w:ascii="Times New Roman" w:hAnsi="Times New Roman"/>
                <w:sz w:val="22"/>
                <w:szCs w:val="22"/>
              </w:rPr>
              <w:t>tratou ace</w:t>
            </w:r>
            <w:r w:rsidR="004C4274">
              <w:rPr>
                <w:rFonts w:ascii="Times New Roman" w:hAnsi="Times New Roman"/>
                <w:sz w:val="22"/>
                <w:szCs w:val="22"/>
              </w:rPr>
              <w:t>rca das cobranças de anuidades.</w:t>
            </w:r>
          </w:p>
        </w:tc>
      </w:tr>
      <w:tr w:rsidR="00CC3664" w:rsidRPr="00044DD9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C3664" w:rsidRPr="00A31405" w:rsidRDefault="00CC3664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CC3664" w:rsidRPr="00A31405" w:rsidRDefault="004C4274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AF1451" w:rsidRDefault="00AF1451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60321" w:rsidRPr="00044DD9" w:rsidRDefault="00F60321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93" w:type="dxa"/>
            <w:vAlign w:val="center"/>
          </w:tcPr>
          <w:p w:rsidR="00F60321" w:rsidRPr="00057235" w:rsidRDefault="005D2428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</w:t>
            </w:r>
            <w:r w:rsidR="004C4274">
              <w:rPr>
                <w:rFonts w:ascii="Times New Roman" w:hAnsi="Times New Roman"/>
                <w:b/>
                <w:sz w:val="22"/>
                <w:szCs w:val="22"/>
              </w:rPr>
              <w:t xml:space="preserve"> Planejamento e Finanças</w:t>
            </w:r>
          </w:p>
        </w:tc>
      </w:tr>
      <w:tr w:rsidR="00A31405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31405" w:rsidRDefault="00A31405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A31405" w:rsidRPr="00663F47" w:rsidRDefault="00663F47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63F47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A31405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31405" w:rsidRPr="00A31405" w:rsidRDefault="00A31405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A31405" w:rsidRPr="00A31405" w:rsidRDefault="00663F47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Quesada</w:t>
            </w:r>
          </w:p>
        </w:tc>
      </w:tr>
      <w:tr w:rsidR="00A31405" w:rsidRPr="00044DD9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31405" w:rsidRPr="00A31405" w:rsidRDefault="00A31405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A31405" w:rsidRPr="00A31405" w:rsidRDefault="00663F47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conselheira i</w:t>
            </w:r>
            <w:r w:rsidR="00A12579">
              <w:rPr>
                <w:rFonts w:ascii="Times New Roman" w:hAnsi="Times New Roman"/>
                <w:sz w:val="22"/>
                <w:szCs w:val="22"/>
              </w:rPr>
              <w:t xml:space="preserve">nforma </w:t>
            </w:r>
            <w:r>
              <w:rPr>
                <w:rFonts w:ascii="Times New Roman" w:hAnsi="Times New Roman"/>
                <w:sz w:val="22"/>
                <w:szCs w:val="22"/>
              </w:rPr>
              <w:t>acerca d</w:t>
            </w:r>
            <w:r w:rsidR="00A12579">
              <w:rPr>
                <w:rFonts w:ascii="Times New Roman" w:hAnsi="Times New Roman"/>
                <w:sz w:val="22"/>
                <w:szCs w:val="22"/>
              </w:rPr>
              <w:t xml:space="preserve">as atividades da comissão. Salienta previsão do orçamento para o corrente ano </w:t>
            </w:r>
            <w:r w:rsidR="005D2428">
              <w:rPr>
                <w:rFonts w:ascii="Times New Roman" w:hAnsi="Times New Roman"/>
                <w:sz w:val="22"/>
                <w:szCs w:val="22"/>
              </w:rPr>
              <w:t>e a</w:t>
            </w:r>
            <w:r w:rsidR="00A125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2428">
              <w:rPr>
                <w:rFonts w:ascii="Times New Roman" w:hAnsi="Times New Roman"/>
                <w:sz w:val="22"/>
                <w:szCs w:val="22"/>
              </w:rPr>
              <w:t xml:space="preserve">necessidade de reprogramação orçamentária. Também comenta </w:t>
            </w:r>
            <w:r>
              <w:rPr>
                <w:rFonts w:ascii="Times New Roman" w:hAnsi="Times New Roman"/>
                <w:sz w:val="22"/>
                <w:szCs w:val="22"/>
              </w:rPr>
              <w:t>que a Comissão irá analisar possíveis ajustes na Instrução Normativa 023/2017 que trata das ajudas de custo e diárias para conselheiros e convidados.</w:t>
            </w:r>
          </w:p>
        </w:tc>
      </w:tr>
      <w:tr w:rsidR="00A31405" w:rsidRPr="00044DD9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31405" w:rsidRPr="00A31405" w:rsidRDefault="00A31405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A31405" w:rsidRPr="00A31405" w:rsidRDefault="00663F47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397661" w:rsidRDefault="00397661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60321" w:rsidRPr="00044DD9" w:rsidRDefault="00F60321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93" w:type="dxa"/>
            <w:vAlign w:val="center"/>
          </w:tcPr>
          <w:p w:rsidR="00F60321" w:rsidRPr="00C05F5C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>Comissão de Ética e Disciplina</w:t>
            </w:r>
          </w:p>
        </w:tc>
      </w:tr>
      <w:tr w:rsidR="00E214E0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214E0" w:rsidRDefault="00E214E0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E214E0" w:rsidRPr="00C05F5C" w:rsidRDefault="00E214E0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E214E0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214E0" w:rsidRPr="00A31405" w:rsidRDefault="00E214E0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E214E0" w:rsidRPr="00A31405" w:rsidRDefault="00E214E0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Rui </w:t>
            </w:r>
            <w:r w:rsidR="00D316A9">
              <w:rPr>
                <w:rFonts w:ascii="Times New Roman" w:hAnsi="Times New Roman"/>
                <w:sz w:val="22"/>
                <w:szCs w:val="22"/>
              </w:rPr>
              <w:t>Mineiro</w:t>
            </w:r>
          </w:p>
        </w:tc>
      </w:tr>
      <w:tr w:rsidR="00E214E0" w:rsidRPr="00044DD9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214E0" w:rsidRPr="00A31405" w:rsidRDefault="00E214E0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E214E0" w:rsidRPr="00815589" w:rsidRDefault="00E214E0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5589">
              <w:rPr>
                <w:rFonts w:ascii="Times New Roman" w:hAnsi="Times New Roman"/>
                <w:sz w:val="22"/>
                <w:szCs w:val="22"/>
              </w:rPr>
              <w:t>O Conselheiro informa</w:t>
            </w:r>
            <w:r w:rsidR="00663F47" w:rsidRPr="008155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5589">
              <w:rPr>
                <w:rFonts w:ascii="Times New Roman" w:hAnsi="Times New Roman"/>
                <w:sz w:val="22"/>
                <w:szCs w:val="22"/>
              </w:rPr>
              <w:t xml:space="preserve">que a Comissão de Ética possui 140 processos em andamento, dentre eles, </w:t>
            </w:r>
            <w:r w:rsidR="00663F47" w:rsidRPr="00815589">
              <w:rPr>
                <w:rFonts w:ascii="Times New Roman" w:hAnsi="Times New Roman"/>
                <w:sz w:val="22"/>
                <w:szCs w:val="22"/>
              </w:rPr>
              <w:t>alguns são oriundos do CREA.</w:t>
            </w:r>
          </w:p>
          <w:p w:rsidR="00E214E0" w:rsidRPr="00815589" w:rsidRDefault="00663F47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5589">
              <w:rPr>
                <w:rFonts w:ascii="Times New Roman" w:hAnsi="Times New Roman"/>
                <w:sz w:val="22"/>
                <w:szCs w:val="22"/>
              </w:rPr>
              <w:t xml:space="preserve">Comenta que a </w:t>
            </w:r>
            <w:r w:rsidR="00815589" w:rsidRPr="00815589">
              <w:rPr>
                <w:rFonts w:ascii="Times New Roman" w:hAnsi="Times New Roman"/>
                <w:sz w:val="22"/>
                <w:szCs w:val="22"/>
              </w:rPr>
              <w:t xml:space="preserve">CED pretende deliberar sobre </w:t>
            </w:r>
            <w:r w:rsidR="00815589" w:rsidRPr="00815589">
              <w:rPr>
                <w:rFonts w:ascii="Times New Roman" w:hAnsi="Times New Roman"/>
                <w:sz w:val="22"/>
                <w:szCs w:val="22"/>
              </w:rPr>
              <w:t>remessa de informação acerca de processos ético-disciplinares extintos pela prescrição intercorrente</w:t>
            </w:r>
            <w:r w:rsidR="00815589" w:rsidRPr="0081558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316A9" w:rsidRPr="00815589" w:rsidRDefault="00815589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Relata que </w:t>
            </w:r>
            <w:r w:rsidR="00D316A9" w:rsidRPr="00815589">
              <w:rPr>
                <w:rFonts w:ascii="Times New Roman" w:hAnsi="Times New Roman"/>
                <w:sz w:val="22"/>
                <w:szCs w:val="22"/>
              </w:rPr>
              <w:t>o trabalho da Comissão tem melhorado consideravelmente desde a reestruturação interna, com o foco da equipe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que darão </w:t>
            </w:r>
            <w:r w:rsidR="00D316A9" w:rsidRPr="00815589">
              <w:rPr>
                <w:rFonts w:ascii="Times New Roman" w:hAnsi="Times New Roman"/>
                <w:sz w:val="22"/>
                <w:szCs w:val="22"/>
              </w:rPr>
              <w:t xml:space="preserve">início </w:t>
            </w:r>
            <w:r>
              <w:rPr>
                <w:rFonts w:ascii="Times New Roman" w:hAnsi="Times New Roman"/>
                <w:sz w:val="22"/>
                <w:szCs w:val="22"/>
              </w:rPr>
              <w:t>às</w:t>
            </w:r>
            <w:r w:rsidR="00D316A9" w:rsidRPr="00815589">
              <w:rPr>
                <w:rFonts w:ascii="Times New Roman" w:hAnsi="Times New Roman"/>
                <w:sz w:val="22"/>
                <w:szCs w:val="22"/>
              </w:rPr>
              <w:t xml:space="preserve"> atividades de palestras da Ética nas universidades, no próximo dia 14/03, no IPA.</w:t>
            </w:r>
          </w:p>
          <w:p w:rsidR="00D316A9" w:rsidRPr="00A31405" w:rsidRDefault="00815589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Apresenta a todos </w:t>
            </w:r>
            <w:r w:rsidR="00D316A9" w:rsidRPr="00815589">
              <w:rPr>
                <w:rFonts w:ascii="Times New Roman" w:hAnsi="Times New Roman"/>
                <w:sz w:val="22"/>
                <w:szCs w:val="22"/>
              </w:rPr>
              <w:t>o calendário nacional da Ética e Disciplina</w:t>
            </w:r>
            <w:r>
              <w:rPr>
                <w:rFonts w:ascii="Times New Roman" w:hAnsi="Times New Roman"/>
                <w:sz w:val="22"/>
                <w:szCs w:val="22"/>
              </w:rPr>
              <w:t>, salientando os eventos nos quais seria importante a participação da CED-CAU/RS</w:t>
            </w:r>
            <w:r w:rsidR="00D316A9" w:rsidRPr="0081558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214E0" w:rsidRPr="00044DD9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214E0" w:rsidRPr="00A31405" w:rsidRDefault="00E214E0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E214E0" w:rsidRPr="00A31405" w:rsidRDefault="00815589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F60321" w:rsidRDefault="00F60321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60321" w:rsidRPr="00044DD9" w:rsidRDefault="00F60321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93" w:type="dxa"/>
            <w:vAlign w:val="center"/>
          </w:tcPr>
          <w:p w:rsidR="00F60321" w:rsidRPr="00C05F5C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F60321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60321" w:rsidRDefault="00F60321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F60321" w:rsidRPr="00815589" w:rsidRDefault="00D75736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15589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F60321" w:rsidRPr="00A31405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60321" w:rsidRPr="00A31405" w:rsidRDefault="00F60321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F60321" w:rsidRPr="00A31405" w:rsidRDefault="00815589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Cláudio </w:t>
            </w:r>
            <w:r w:rsidR="00D75736">
              <w:rPr>
                <w:rFonts w:ascii="Times New Roman" w:hAnsi="Times New Roman"/>
                <w:sz w:val="22"/>
                <w:szCs w:val="22"/>
              </w:rPr>
              <w:t>Fischer</w:t>
            </w:r>
          </w:p>
        </w:tc>
      </w:tr>
      <w:tr w:rsidR="00F60321" w:rsidRPr="00A31405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60321" w:rsidRPr="00A31405" w:rsidRDefault="00F60321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F60321" w:rsidRPr="00A31405" w:rsidRDefault="0073488C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</w:t>
            </w:r>
            <w:r w:rsidR="00D75736">
              <w:rPr>
                <w:rFonts w:ascii="Times New Roman" w:hAnsi="Times New Roman"/>
                <w:sz w:val="22"/>
                <w:szCs w:val="22"/>
              </w:rPr>
              <w:t>elata acerca da</w:t>
            </w:r>
            <w:r w:rsidR="00815589">
              <w:rPr>
                <w:rFonts w:ascii="Times New Roman" w:hAnsi="Times New Roman"/>
                <w:sz w:val="22"/>
                <w:szCs w:val="22"/>
              </w:rPr>
              <w:t>s</w:t>
            </w:r>
            <w:r w:rsidR="00D75736">
              <w:rPr>
                <w:rFonts w:ascii="Times New Roman" w:hAnsi="Times New Roman"/>
                <w:sz w:val="22"/>
                <w:szCs w:val="22"/>
              </w:rPr>
              <w:t xml:space="preserve"> demanda</w:t>
            </w:r>
            <w:r w:rsidR="00815589">
              <w:rPr>
                <w:rFonts w:ascii="Times New Roman" w:hAnsi="Times New Roman"/>
                <w:sz w:val="22"/>
                <w:szCs w:val="22"/>
              </w:rPr>
              <w:t>s</w:t>
            </w:r>
            <w:r w:rsidR="00D75736">
              <w:rPr>
                <w:rFonts w:ascii="Times New Roman" w:hAnsi="Times New Roman"/>
                <w:sz w:val="22"/>
                <w:szCs w:val="22"/>
              </w:rPr>
              <w:t xml:space="preserve"> da </w:t>
            </w:r>
            <w:r w:rsidR="00815589">
              <w:rPr>
                <w:rFonts w:ascii="Times New Roman" w:hAnsi="Times New Roman"/>
                <w:sz w:val="22"/>
                <w:szCs w:val="22"/>
              </w:rPr>
              <w:t>CEF</w:t>
            </w:r>
            <w:r w:rsidR="00D7573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dentre elas </w:t>
            </w:r>
            <w:r w:rsidR="00D75736">
              <w:rPr>
                <w:rFonts w:ascii="Times New Roman" w:hAnsi="Times New Roman"/>
                <w:sz w:val="22"/>
                <w:szCs w:val="22"/>
              </w:rPr>
              <w:t xml:space="preserve">fazer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D75736">
              <w:rPr>
                <w:rFonts w:ascii="Times New Roman" w:hAnsi="Times New Roman"/>
                <w:sz w:val="22"/>
                <w:szCs w:val="22"/>
              </w:rPr>
              <w:t>juntada de documentos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junto ao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jurídico do CAU/RS,</w:t>
            </w:r>
            <w:r w:rsidR="00D75736">
              <w:rPr>
                <w:rFonts w:ascii="Times New Roman" w:hAnsi="Times New Roman"/>
                <w:sz w:val="22"/>
                <w:szCs w:val="22"/>
              </w:rPr>
              <w:t xml:space="preserve"> para apresentação ao MPF</w:t>
            </w:r>
            <w:r>
              <w:rPr>
                <w:rFonts w:ascii="Times New Roman" w:hAnsi="Times New Roman"/>
                <w:sz w:val="22"/>
                <w:szCs w:val="22"/>
              </w:rPr>
              <w:t>, quanto a questão da mercantilização do Ensino, como é de conhecimento de todos</w:t>
            </w:r>
            <w:r w:rsidR="00D75736">
              <w:rPr>
                <w:rFonts w:ascii="Times New Roman" w:hAnsi="Times New Roman"/>
                <w:sz w:val="22"/>
                <w:szCs w:val="22"/>
              </w:rPr>
              <w:t xml:space="preserve">. Salienta que foi realizada a solicitação de material </w:t>
            </w:r>
            <w:r w:rsidR="00895B77">
              <w:rPr>
                <w:rFonts w:ascii="Times New Roman" w:hAnsi="Times New Roman"/>
                <w:sz w:val="22"/>
                <w:szCs w:val="22"/>
              </w:rPr>
              <w:t>referente à grade curricular dos cursos de arquitetura e urbanismo, ao CAU/BR e que o Conselho Federal negou o pedido, tendo em vista o acordo existente com o MEC, não permite a divulgação do material. Também comenta sobre a intenção da comissão em reunir-se com alguns professores para tratar das questões de ensino.</w:t>
            </w:r>
          </w:p>
        </w:tc>
      </w:tr>
      <w:tr w:rsidR="00F60321" w:rsidRPr="00A31405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60321" w:rsidRPr="00A31405" w:rsidRDefault="00F60321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F60321" w:rsidRPr="00A31405" w:rsidRDefault="00895B77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realizará, nos próximos meses, fórum com os coordenadores dos cursos de arquitetura e urbanismo, para tratar da qualidade do ensino e outras questões</w:t>
            </w:r>
            <w:r w:rsidR="0073488C">
              <w:rPr>
                <w:rFonts w:ascii="Times New Roman" w:hAnsi="Times New Roman"/>
                <w:sz w:val="22"/>
                <w:szCs w:val="22"/>
              </w:rPr>
              <w:t xml:space="preserve"> atinentes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F60321" w:rsidRDefault="00F60321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C05F5C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05F5C" w:rsidRPr="00044DD9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93" w:type="dxa"/>
            <w:vAlign w:val="center"/>
          </w:tcPr>
          <w:p w:rsidR="00C05F5C" w:rsidRPr="00C05F5C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Exercício Profissional</w:t>
            </w:r>
          </w:p>
        </w:tc>
      </w:tr>
      <w:tr w:rsidR="00C05F5C" w:rsidRPr="00044DD9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05F5C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C05F5C" w:rsidRPr="0073488C" w:rsidRDefault="0073488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3488C">
              <w:rPr>
                <w:rFonts w:ascii="Times New Roman" w:hAnsi="Times New Roman"/>
                <w:b/>
                <w:sz w:val="22"/>
                <w:szCs w:val="22"/>
              </w:rPr>
              <w:t>Informes gerais.</w:t>
            </w:r>
          </w:p>
        </w:tc>
      </w:tr>
      <w:tr w:rsidR="00C05F5C" w:rsidRPr="00A31405" w:rsidTr="00DC24A8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05F5C" w:rsidRPr="00A31405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C05F5C" w:rsidRPr="00A31405" w:rsidRDefault="002425A7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</w:t>
            </w:r>
            <w:r w:rsidR="0073488C">
              <w:rPr>
                <w:rFonts w:ascii="Times New Roman" w:hAnsi="Times New Roman"/>
                <w:sz w:val="22"/>
                <w:szCs w:val="22"/>
              </w:rPr>
              <w:t xml:space="preserve"> Adriano Adams de Campos</w:t>
            </w:r>
          </w:p>
        </w:tc>
      </w:tr>
      <w:tr w:rsidR="00C05F5C" w:rsidRPr="00A31405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05F5C" w:rsidRPr="00A31405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2425A7" w:rsidRPr="00A31405" w:rsidRDefault="0073488C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apresenta o calendário de eventos do CAU/BR atinentes à CEP, dentre eles, o Seminário </w:t>
            </w:r>
            <w:r w:rsidR="002425A7">
              <w:rPr>
                <w:rFonts w:ascii="Times New Roman" w:hAnsi="Times New Roman"/>
                <w:sz w:val="22"/>
                <w:szCs w:val="22"/>
              </w:rPr>
              <w:t xml:space="preserve">Legislativo,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ocorrer nos dias </w:t>
            </w:r>
            <w:r w:rsidR="002425A7">
              <w:rPr>
                <w:rFonts w:ascii="Times New Roman" w:hAnsi="Times New Roman"/>
                <w:sz w:val="22"/>
                <w:szCs w:val="22"/>
              </w:rPr>
              <w:t>10 e 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maio </w:t>
            </w:r>
            <w:r w:rsidR="002425A7">
              <w:rPr>
                <w:rFonts w:ascii="Times New Roman" w:hAnsi="Times New Roman"/>
                <w:sz w:val="22"/>
                <w:szCs w:val="22"/>
              </w:rPr>
              <w:t xml:space="preserve">em </w:t>
            </w:r>
            <w:r>
              <w:rPr>
                <w:rFonts w:ascii="Times New Roman" w:hAnsi="Times New Roman"/>
                <w:sz w:val="22"/>
                <w:szCs w:val="22"/>
              </w:rPr>
              <w:t>Brasília. Também apresenta seu descontentamento com a previsão de participação apenas dos empregados nos treinamentos oferecidos pelo CAU/BR, não estando previstas, pelo Conselho Federal, participações dos conselheiros dos CAU/UF nos mesmos.</w:t>
            </w:r>
          </w:p>
        </w:tc>
      </w:tr>
      <w:tr w:rsidR="00C05F5C" w:rsidRPr="00A31405" w:rsidTr="00DC24A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05F5C" w:rsidRPr="00A31405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C05F5C" w:rsidRPr="00A31405" w:rsidRDefault="0073488C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C05F5C" w:rsidRDefault="00C05F5C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DC24A8" w:rsidRDefault="00DC24A8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73488C" w:rsidRDefault="0073488C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3"/>
      </w:tblGrid>
      <w:tr w:rsidR="00C05F5C" w:rsidRPr="00044DD9" w:rsidTr="00DC24A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Pr="00044DD9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093" w:type="dxa"/>
            <w:vAlign w:val="center"/>
          </w:tcPr>
          <w:p w:rsidR="00C05F5C" w:rsidRPr="00C05F5C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Organização e Administração</w:t>
            </w:r>
          </w:p>
        </w:tc>
      </w:tr>
      <w:tr w:rsidR="00C05F5C" w:rsidRPr="00044DD9" w:rsidTr="00DC24A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C05F5C" w:rsidRPr="0073488C" w:rsidRDefault="0073488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C05F5C" w:rsidRPr="00A31405" w:rsidTr="00DC24A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Pr="00A31405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C05F5C" w:rsidRPr="00A31405" w:rsidRDefault="00F41D16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Paulo </w:t>
            </w:r>
            <w:r w:rsidR="0073488C">
              <w:rPr>
                <w:rFonts w:ascii="Times New Roman" w:hAnsi="Times New Roman"/>
                <w:sz w:val="22"/>
                <w:szCs w:val="22"/>
              </w:rPr>
              <w:t xml:space="preserve">Fernando do Amaral </w:t>
            </w:r>
            <w:r>
              <w:rPr>
                <w:rFonts w:ascii="Times New Roman" w:hAnsi="Times New Roman"/>
                <w:sz w:val="22"/>
                <w:szCs w:val="22"/>
              </w:rPr>
              <w:t>Fontana</w:t>
            </w:r>
          </w:p>
        </w:tc>
      </w:tr>
      <w:tr w:rsidR="00C05F5C" w:rsidRPr="00A31405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Pr="00A31405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C05F5C" w:rsidRPr="00A31405" w:rsidRDefault="00F41D16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73488C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onselheiro relata acerca das atividades da Comissão, dentre as quais ajustes no organograma, no plano de cargos e salários e a </w:t>
            </w:r>
            <w:r w:rsidR="00A12579">
              <w:rPr>
                <w:rFonts w:ascii="Times New Roman" w:hAnsi="Times New Roman"/>
                <w:sz w:val="22"/>
                <w:szCs w:val="22"/>
              </w:rPr>
              <w:t>possibilidade de admissão de novas entidades no CEAU.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Também comenta sobre sua participação em reunião na Câmara Municipal, ocasião na qual acabou ouvindo diversas reclamações acerca das atividades de fiscalização, rotinas, comunicação, dentre outros temas. </w:t>
            </w:r>
            <w:r w:rsidR="00A12579">
              <w:rPr>
                <w:rFonts w:ascii="Times New Roman" w:hAnsi="Times New Roman"/>
                <w:sz w:val="22"/>
                <w:szCs w:val="22"/>
              </w:rPr>
              <w:t xml:space="preserve"> Salienta o interesse e disponibilidade </w:t>
            </w:r>
            <w:r w:rsidR="0073488C">
              <w:rPr>
                <w:rFonts w:ascii="Times New Roman" w:hAnsi="Times New Roman"/>
                <w:sz w:val="22"/>
                <w:szCs w:val="22"/>
              </w:rPr>
              <w:t xml:space="preserve">da conselheira </w:t>
            </w:r>
            <w:r w:rsidR="00A12579">
              <w:rPr>
                <w:rFonts w:ascii="Times New Roman" w:hAnsi="Times New Roman"/>
                <w:sz w:val="22"/>
                <w:szCs w:val="22"/>
              </w:rPr>
              <w:t xml:space="preserve">Orildes </w:t>
            </w:r>
            <w:r w:rsidR="0073488C">
              <w:rPr>
                <w:rFonts w:ascii="Times New Roman" w:hAnsi="Times New Roman"/>
                <w:sz w:val="22"/>
                <w:szCs w:val="22"/>
              </w:rPr>
              <w:t>em participar da Comissão Temporária de C</w:t>
            </w:r>
            <w:r w:rsidR="00A12579">
              <w:rPr>
                <w:rFonts w:ascii="Times New Roman" w:hAnsi="Times New Roman"/>
                <w:sz w:val="22"/>
                <w:szCs w:val="22"/>
              </w:rPr>
              <w:t>omunicação</w:t>
            </w:r>
            <w:r w:rsidR="0073488C">
              <w:rPr>
                <w:rFonts w:ascii="Times New Roman" w:hAnsi="Times New Roman"/>
                <w:sz w:val="22"/>
                <w:szCs w:val="22"/>
              </w:rPr>
              <w:t>, caso seja aberta alguma cadeira para a mesma</w:t>
            </w:r>
            <w:r w:rsidR="00A1257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05F5C" w:rsidRPr="00A31405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Pr="00A31405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C05F5C" w:rsidRPr="00A31405" w:rsidRDefault="0073488C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C05F5C" w:rsidRDefault="00C05F5C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3"/>
      </w:tblGrid>
      <w:tr w:rsidR="00C05F5C" w:rsidRPr="00044DD9" w:rsidTr="00DC24A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Pr="00044DD9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7093" w:type="dxa"/>
            <w:vAlign w:val="center"/>
          </w:tcPr>
          <w:p w:rsidR="00C05F5C" w:rsidRPr="00C05F5C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Comissão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Especial </w:t>
            </w:r>
            <w:r w:rsidRPr="00C05F5C">
              <w:rPr>
                <w:rFonts w:ascii="Times New Roman" w:hAnsi="Times New Roman"/>
                <w:b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Política Urbana e Ambiental</w:t>
            </w:r>
          </w:p>
        </w:tc>
      </w:tr>
      <w:tr w:rsidR="00C05F5C" w:rsidRPr="00044DD9" w:rsidTr="00DC24A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C05F5C" w:rsidRPr="00057235" w:rsidRDefault="00D316A9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Informes gerais</w:t>
            </w:r>
          </w:p>
        </w:tc>
      </w:tr>
      <w:tr w:rsidR="00C05F5C" w:rsidRPr="00A31405" w:rsidTr="00DC24A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Pr="00A31405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C05F5C" w:rsidRPr="00A31405" w:rsidRDefault="00D316A9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</w:t>
            </w:r>
            <w:r w:rsidR="0073488C">
              <w:rPr>
                <w:rFonts w:ascii="Times New Roman" w:hAnsi="Times New Roman"/>
                <w:sz w:val="22"/>
                <w:szCs w:val="22"/>
              </w:rPr>
              <w:t xml:space="preserve"> de Souza</w:t>
            </w:r>
          </w:p>
        </w:tc>
      </w:tr>
      <w:tr w:rsidR="00C05F5C" w:rsidRPr="00A31405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Pr="00A31405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C05F5C" w:rsidRPr="00A31405" w:rsidRDefault="00D316A9" w:rsidP="00DC24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73488C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onselheiro informa acerca das demandas iniciais da CPUA</w:t>
            </w:r>
            <w:r w:rsidR="00C90815">
              <w:rPr>
                <w:rFonts w:ascii="Times New Roman" w:hAnsi="Times New Roman"/>
                <w:sz w:val="22"/>
                <w:szCs w:val="22"/>
              </w:rPr>
              <w:t>, salientando que a comissão está desenvolvendo carta às autoridades municipais e estaduais</w:t>
            </w:r>
            <w:r w:rsidR="00DC24A8">
              <w:rPr>
                <w:rFonts w:ascii="Times New Roman" w:hAnsi="Times New Roman"/>
                <w:sz w:val="22"/>
                <w:szCs w:val="22"/>
              </w:rPr>
              <w:t>, com relação às questões</w:t>
            </w:r>
            <w:r w:rsidR="00C90815">
              <w:rPr>
                <w:rFonts w:ascii="Times New Roman" w:hAnsi="Times New Roman"/>
                <w:sz w:val="22"/>
                <w:szCs w:val="22"/>
              </w:rPr>
              <w:t xml:space="preserve"> urbana e ambiental do estado e municípios.</w:t>
            </w:r>
            <w:r w:rsidR="00D75736">
              <w:rPr>
                <w:rFonts w:ascii="Times New Roman" w:hAnsi="Times New Roman"/>
                <w:sz w:val="22"/>
                <w:szCs w:val="22"/>
              </w:rPr>
              <w:t xml:space="preserve"> Também refere sobre a Instrução normativa das representações e os atendim</w:t>
            </w:r>
            <w:r w:rsidR="00A12579">
              <w:rPr>
                <w:rFonts w:ascii="Times New Roman" w:hAnsi="Times New Roman"/>
                <w:sz w:val="22"/>
                <w:szCs w:val="22"/>
              </w:rPr>
              <w:t xml:space="preserve">entos </w:t>
            </w:r>
            <w:r w:rsidR="00DC24A8">
              <w:rPr>
                <w:rFonts w:ascii="Times New Roman" w:hAnsi="Times New Roman"/>
                <w:sz w:val="22"/>
                <w:szCs w:val="22"/>
              </w:rPr>
              <w:t xml:space="preserve">de representação do CAU/RS na </w:t>
            </w:r>
            <w:r w:rsidR="00A12579">
              <w:rPr>
                <w:rFonts w:ascii="Times New Roman" w:hAnsi="Times New Roman"/>
                <w:sz w:val="22"/>
                <w:szCs w:val="22"/>
              </w:rPr>
              <w:t>FADERS, CMDI-PF, CMDUA</w:t>
            </w:r>
            <w:r w:rsidR="00D75736">
              <w:rPr>
                <w:rFonts w:ascii="Times New Roman" w:hAnsi="Times New Roman"/>
                <w:sz w:val="22"/>
                <w:szCs w:val="22"/>
              </w:rPr>
              <w:t xml:space="preserve"> e COESPPCI.</w:t>
            </w:r>
          </w:p>
        </w:tc>
      </w:tr>
      <w:tr w:rsidR="00C05F5C" w:rsidRPr="00A31405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05F5C" w:rsidRPr="00A31405" w:rsidRDefault="00C05F5C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C05F5C" w:rsidRPr="00A31405" w:rsidRDefault="00D75736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Somente informe.</w:t>
            </w:r>
          </w:p>
        </w:tc>
      </w:tr>
    </w:tbl>
    <w:p w:rsidR="00C05F5C" w:rsidRDefault="00C05F5C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361"/>
      </w:tblGrid>
      <w:tr w:rsidR="00F60321" w:rsidRPr="00397661" w:rsidTr="00DC24A8">
        <w:tc>
          <w:tcPr>
            <w:tcW w:w="9361" w:type="dxa"/>
            <w:shd w:val="clear" w:color="auto" w:fill="F2F2F2" w:themeFill="background1" w:themeFillShade="F2"/>
            <w:vAlign w:val="center"/>
          </w:tcPr>
          <w:p w:rsidR="00F60321" w:rsidRPr="00397661" w:rsidRDefault="00F60321" w:rsidP="0073488C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F60321" w:rsidRDefault="00F60321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5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1"/>
      </w:tblGrid>
      <w:tr w:rsidR="00397661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1" w:type="dxa"/>
            <w:vAlign w:val="center"/>
          </w:tcPr>
          <w:p w:rsidR="00397661" w:rsidRPr="00044DD9" w:rsidRDefault="00E51B82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6BBF">
              <w:rPr>
                <w:rFonts w:ascii="Times New Roman" w:hAnsi="Times New Roman"/>
                <w:b/>
                <w:sz w:val="22"/>
                <w:szCs w:val="22"/>
              </w:rPr>
              <w:t>Processo Administrativo nº 224/2017;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E51B82" w:rsidRPr="00057235" w:rsidRDefault="00E51B82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Conselho Diretor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E51B82" w:rsidRPr="00057235" w:rsidRDefault="00C05F5C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88" w:type="dxa"/>
            <w:vAlign w:val="center"/>
          </w:tcPr>
          <w:p w:rsidR="00E51B82" w:rsidRDefault="00C05F5C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informa ter recebido ontem o referido processo, que retornou do Sindicante com a manifestação jurídica acerca do mesmo, conforme a </w:t>
            </w:r>
            <w:r w:rsidR="00DC24A8">
              <w:rPr>
                <w:rFonts w:ascii="Times New Roman" w:hAnsi="Times New Roman"/>
                <w:sz w:val="22"/>
                <w:szCs w:val="22"/>
              </w:rPr>
              <w:t>deliberação do Conselho Diretor, necessitando de relato de conselheiro para andamento.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E51B82" w:rsidRPr="00C05F5C" w:rsidRDefault="00C05F5C" w:rsidP="00DC24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Processo foi distribuído </w:t>
            </w:r>
            <w:r w:rsidR="00DC24A8">
              <w:rPr>
                <w:rFonts w:ascii="Times New Roman" w:hAnsi="Times New Roman"/>
                <w:sz w:val="22"/>
                <w:szCs w:val="22"/>
              </w:rPr>
              <w:t xml:space="preserve">em carga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para o Conselheiro </w:t>
            </w:r>
            <w:r w:rsidR="00DC24A8">
              <w:rPr>
                <w:rFonts w:ascii="Times New Roman" w:hAnsi="Times New Roman"/>
                <w:sz w:val="22"/>
                <w:szCs w:val="22"/>
              </w:rPr>
              <w:t xml:space="preserve">Paulo Fernando do Amaral </w:t>
            </w:r>
            <w:r>
              <w:rPr>
                <w:rFonts w:ascii="Times New Roman" w:hAnsi="Times New Roman"/>
                <w:sz w:val="22"/>
                <w:szCs w:val="22"/>
              </w:rPr>
              <w:t>Fontana para relato e retorno do mesmo na próxima reunião, a ocorrer na quarta-feira, dia 07/03/2018.</w:t>
            </w:r>
          </w:p>
        </w:tc>
      </w:tr>
    </w:tbl>
    <w:p w:rsidR="00397661" w:rsidRDefault="00397661" w:rsidP="0073488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5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1"/>
      </w:tblGrid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Pr="00044DD9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91" w:type="dxa"/>
            <w:vAlign w:val="center"/>
          </w:tcPr>
          <w:p w:rsidR="00E51B82" w:rsidRPr="00057235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C6BBF">
              <w:rPr>
                <w:rFonts w:ascii="Times New Roman" w:hAnsi="Times New Roman"/>
                <w:b/>
                <w:sz w:val="22"/>
                <w:szCs w:val="22"/>
              </w:rPr>
              <w:t>Licença do Cargo de Conselheiro Titular do CAU/RS: Sérgio Zimmermann;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E51B82" w:rsidRPr="00057235" w:rsidRDefault="00E51B82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E51B82" w:rsidRPr="00057235" w:rsidRDefault="00E51B82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88" w:type="dxa"/>
            <w:vAlign w:val="center"/>
          </w:tcPr>
          <w:p w:rsidR="00E51B82" w:rsidRDefault="00C05F5C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</w:t>
            </w:r>
            <w:r w:rsidR="00DC24A8">
              <w:rPr>
                <w:rFonts w:ascii="Times New Roman" w:hAnsi="Times New Roman"/>
                <w:sz w:val="22"/>
                <w:szCs w:val="22"/>
              </w:rPr>
              <w:t xml:space="preserve">informa a todos acerca de </w:t>
            </w:r>
            <w:r>
              <w:rPr>
                <w:rFonts w:ascii="Times New Roman" w:hAnsi="Times New Roman"/>
                <w:sz w:val="22"/>
                <w:szCs w:val="22"/>
              </w:rPr>
              <w:t>licença apresentada pelo Conselheiro Zimmermann,</w:t>
            </w:r>
            <w:r w:rsidR="00DC24A8">
              <w:rPr>
                <w:rFonts w:ascii="Times New Roman" w:hAnsi="Times New Roman"/>
                <w:sz w:val="22"/>
                <w:szCs w:val="22"/>
              </w:rPr>
              <w:t xml:space="preserve"> a partir de 15 de fevereiro até 31 de dezembro de 2018, </w:t>
            </w:r>
            <w:r>
              <w:rPr>
                <w:rFonts w:ascii="Times New Roman" w:hAnsi="Times New Roman"/>
                <w:sz w:val="22"/>
                <w:szCs w:val="22"/>
              </w:rPr>
              <w:t>conforme documento anexo a esta súmula.</w:t>
            </w:r>
          </w:p>
          <w:p w:rsidR="00815589" w:rsidRDefault="00DC24A8" w:rsidP="00DC24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815589" w:rsidRPr="00815589">
              <w:rPr>
                <w:rFonts w:ascii="Times New Roman" w:hAnsi="Times New Roman"/>
                <w:sz w:val="22"/>
                <w:szCs w:val="22"/>
              </w:rPr>
              <w:t xml:space="preserve">Conselheiro Rui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considera </w:t>
            </w:r>
            <w:r w:rsidR="00815589" w:rsidRPr="00815589">
              <w:rPr>
                <w:rFonts w:ascii="Times New Roman" w:hAnsi="Times New Roman"/>
                <w:sz w:val="22"/>
                <w:szCs w:val="22"/>
              </w:rPr>
              <w:t xml:space="preserve">interessante incluir novo membro na </w:t>
            </w:r>
            <w:r>
              <w:rPr>
                <w:rFonts w:ascii="Times New Roman" w:hAnsi="Times New Roman"/>
                <w:sz w:val="22"/>
                <w:szCs w:val="22"/>
              </w:rPr>
              <w:t>Comissão, até o final deste ano, em substituição ao conselheiro licenciado.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E51B82" w:rsidRPr="00C05F5C" w:rsidRDefault="00C05F5C" w:rsidP="00DC24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licença do conselheiro</w:t>
            </w:r>
            <w:r w:rsidR="00DC24A8">
              <w:rPr>
                <w:rFonts w:ascii="Times New Roman" w:hAnsi="Times New Roman"/>
                <w:sz w:val="22"/>
                <w:szCs w:val="22"/>
              </w:rPr>
              <w:t xml:space="preserve"> deverá </w:t>
            </w:r>
            <w:r w:rsidR="00E214E0">
              <w:rPr>
                <w:rFonts w:ascii="Times New Roman" w:hAnsi="Times New Roman"/>
                <w:sz w:val="22"/>
                <w:szCs w:val="22"/>
              </w:rPr>
              <w:t>se</w:t>
            </w:r>
            <w:r w:rsidR="00DC24A8">
              <w:rPr>
                <w:rFonts w:ascii="Times New Roman" w:hAnsi="Times New Roman"/>
                <w:sz w:val="22"/>
                <w:szCs w:val="22"/>
              </w:rPr>
              <w:t>r</w:t>
            </w:r>
            <w:r w:rsidR="00E214E0">
              <w:rPr>
                <w:rFonts w:ascii="Times New Roman" w:hAnsi="Times New Roman"/>
                <w:sz w:val="22"/>
                <w:szCs w:val="22"/>
              </w:rPr>
              <w:t xml:space="preserve"> publicada no site do CAU/RS e, posteriormente, levada ao conhecimento do Plenário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5054AE" w:rsidRDefault="005054AE" w:rsidP="0073488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24A8" w:rsidRDefault="00DC24A8" w:rsidP="0073488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5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1"/>
      </w:tblGrid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Pr="00044DD9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91" w:type="dxa"/>
            <w:vAlign w:val="center"/>
          </w:tcPr>
          <w:p w:rsidR="00E51B82" w:rsidRPr="000C6BBF" w:rsidRDefault="00E51B82" w:rsidP="00DC24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C6BBF">
              <w:rPr>
                <w:rFonts w:ascii="Times New Roman" w:hAnsi="Times New Roman"/>
                <w:b/>
                <w:sz w:val="22"/>
                <w:szCs w:val="22"/>
              </w:rPr>
              <w:t xml:space="preserve">Renúncia do Cargo de Suplente </w:t>
            </w:r>
            <w:r w:rsidR="00DC24A8">
              <w:rPr>
                <w:rFonts w:ascii="Times New Roman" w:hAnsi="Times New Roman"/>
                <w:b/>
                <w:sz w:val="22"/>
                <w:szCs w:val="22"/>
              </w:rPr>
              <w:t xml:space="preserve">de Conselheiro </w:t>
            </w:r>
            <w:r w:rsidRPr="000C6BBF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 CA</w:t>
            </w:r>
            <w:r w:rsidR="00DC24A8">
              <w:rPr>
                <w:rFonts w:ascii="Times New Roman" w:hAnsi="Times New Roman"/>
                <w:b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/RS: José Guilherme Piccoli;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1" w:type="dxa"/>
            <w:vAlign w:val="center"/>
          </w:tcPr>
          <w:p w:rsidR="00E51B82" w:rsidRPr="00057235" w:rsidRDefault="00E51B82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E51B82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E51B82" w:rsidRPr="00057235" w:rsidRDefault="00E51B82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DC24A8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C24A8" w:rsidRDefault="00DC24A8" w:rsidP="00DC24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88" w:type="dxa"/>
            <w:vAlign w:val="center"/>
          </w:tcPr>
          <w:p w:rsidR="00DC24A8" w:rsidRDefault="00DC24A8" w:rsidP="00DC24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informa acerca de renúncia apresentada pelo Suplente de Conselheiro, José Guilherme Piccoli, em 22 de fevereiro de 2018, conforme documento anexo a esta súmula.</w:t>
            </w:r>
          </w:p>
        </w:tc>
      </w:tr>
      <w:tr w:rsidR="00DC24A8" w:rsidRPr="00044DD9" w:rsidTr="00DC24A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C24A8" w:rsidRDefault="00DC24A8" w:rsidP="00DC24A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1" w:type="dxa"/>
          </w:tcPr>
          <w:p w:rsidR="00DC24A8" w:rsidRPr="00512C31" w:rsidRDefault="00DC24A8" w:rsidP="00DC24A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licença do conselheiro será publicada no site do CAU/RS e, posteriormente, levada ao conhecimento do Plenário.</w:t>
            </w:r>
          </w:p>
        </w:tc>
      </w:tr>
    </w:tbl>
    <w:p w:rsidR="00681548" w:rsidRDefault="00681548" w:rsidP="0073488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E51B82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Pr="00044DD9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C6BBF">
              <w:rPr>
                <w:rFonts w:ascii="Times New Roman" w:hAnsi="Times New Roman"/>
                <w:b/>
                <w:sz w:val="22"/>
                <w:szCs w:val="22"/>
              </w:rPr>
              <w:t>Distribuição de Processos referentes a cobrança de anuidades de profissionais inadimplentes, para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reexame</w:t>
            </w:r>
            <w:r w:rsidR="008D7A7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8D7A7A" w:rsidRPr="008D7A7A" w:rsidRDefault="008D7A7A" w:rsidP="008D7A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Processo Administrativo nº 409/2017 – </w:t>
            </w:r>
            <w:proofErr w:type="spellStart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>Canalli</w:t>
            </w:r>
            <w:proofErr w:type="spellEnd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 &amp; Velho Ltda.;</w:t>
            </w:r>
          </w:p>
          <w:p w:rsidR="008D7A7A" w:rsidRPr="008D7A7A" w:rsidRDefault="008D7A7A" w:rsidP="008D7A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 w:rsidRPr="008D7A7A">
              <w:rPr>
                <w:rFonts w:ascii="Times New Roman" w:hAnsi="Times New Roman"/>
                <w:b/>
                <w:sz w:val="22"/>
                <w:szCs w:val="20"/>
              </w:rPr>
              <w:t>Processo Administrativo nº 367/2017 – Alberto Coelho Gonçalves;</w:t>
            </w:r>
          </w:p>
          <w:p w:rsidR="008D7A7A" w:rsidRPr="008D7A7A" w:rsidRDefault="008D7A7A" w:rsidP="008D7A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 w:rsidRPr="008D7A7A">
              <w:rPr>
                <w:rFonts w:ascii="Times New Roman" w:hAnsi="Times New Roman"/>
                <w:b/>
                <w:sz w:val="22"/>
                <w:szCs w:val="20"/>
              </w:rPr>
              <w:t>Processo Administrativo nº 388/2017 – CNT Construções Ltda.;</w:t>
            </w:r>
          </w:p>
          <w:p w:rsidR="008D7A7A" w:rsidRPr="008D7A7A" w:rsidRDefault="008D7A7A" w:rsidP="008D7A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Processo Administrativo nº 078/2017 – </w:t>
            </w:r>
            <w:proofErr w:type="spellStart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>Edener</w:t>
            </w:r>
            <w:proofErr w:type="spellEnd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 V. </w:t>
            </w:r>
            <w:proofErr w:type="spellStart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>Pierezan</w:t>
            </w:r>
            <w:proofErr w:type="spellEnd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 - ME;</w:t>
            </w:r>
          </w:p>
          <w:p w:rsidR="008D7A7A" w:rsidRPr="008D7A7A" w:rsidRDefault="008D7A7A" w:rsidP="008D7A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Processo Administrativo nº 112/2017 – </w:t>
            </w:r>
            <w:proofErr w:type="spellStart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>Sauthier</w:t>
            </w:r>
            <w:proofErr w:type="spellEnd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 &amp; Schneider Ltda.;</w:t>
            </w:r>
          </w:p>
          <w:p w:rsidR="008D7A7A" w:rsidRPr="008D7A7A" w:rsidRDefault="008D7A7A" w:rsidP="008D7A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Processo Administrativo nº 032/2016 – </w:t>
            </w:r>
            <w:proofErr w:type="spellStart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>Concresul</w:t>
            </w:r>
            <w:proofErr w:type="spellEnd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 Pré-Moldados Ltda.;</w:t>
            </w:r>
          </w:p>
          <w:p w:rsidR="008D7A7A" w:rsidRPr="008D7A7A" w:rsidRDefault="008D7A7A" w:rsidP="008D7A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Processo Administrativo nº 1104/2016 – Felipe Luiz </w:t>
            </w:r>
            <w:proofErr w:type="spellStart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>Romam</w:t>
            </w:r>
            <w:proofErr w:type="spellEnd"/>
            <w:r w:rsidRPr="008D7A7A">
              <w:rPr>
                <w:rFonts w:ascii="Times New Roman" w:hAnsi="Times New Roman"/>
                <w:b/>
                <w:sz w:val="22"/>
                <w:szCs w:val="20"/>
              </w:rPr>
              <w:t xml:space="preserve"> &amp; Cia. Ltda.</w:t>
            </w:r>
          </w:p>
        </w:tc>
      </w:tr>
      <w:tr w:rsidR="00E51B82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E51B82" w:rsidRPr="00057235" w:rsidRDefault="00E51B82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</w:t>
            </w:r>
          </w:p>
        </w:tc>
      </w:tr>
      <w:tr w:rsidR="00E51B82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E51B82" w:rsidRPr="00057235" w:rsidRDefault="00E51B82" w:rsidP="007348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E51B82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88" w:type="dxa"/>
            <w:vAlign w:val="center"/>
          </w:tcPr>
          <w:p w:rsidR="00E51B82" w:rsidRDefault="008D7A7A" w:rsidP="008D7A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informa que estes processos necessitam ser reexaminados, pois se tratam de cobranças de anuidade, com impugnações aceitas pela CPF-CAU/RS, desta forma, se faz necessário um novo relato e voto para posterior aprovação no plenário. </w:t>
            </w:r>
          </w:p>
        </w:tc>
      </w:tr>
      <w:tr w:rsidR="00E51B82" w:rsidRPr="00044DD9" w:rsidTr="00E51B82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1B82" w:rsidRDefault="00E51B82" w:rsidP="0073488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E51B82" w:rsidRDefault="00E214E0" w:rsidP="008D7A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 processos são distribuídos ao Conselheiro Paulo </w:t>
            </w:r>
            <w:r w:rsidR="008D7A7A">
              <w:rPr>
                <w:rFonts w:ascii="Times New Roman" w:hAnsi="Times New Roman"/>
                <w:sz w:val="22"/>
                <w:szCs w:val="22"/>
              </w:rPr>
              <w:t xml:space="preserve">Fernando do Amaral </w:t>
            </w:r>
            <w:r>
              <w:rPr>
                <w:rFonts w:ascii="Times New Roman" w:hAnsi="Times New Roman"/>
                <w:sz w:val="22"/>
                <w:szCs w:val="22"/>
              </w:rPr>
              <w:t>Fontana</w:t>
            </w:r>
            <w:r w:rsidR="008D7A7A">
              <w:rPr>
                <w:rFonts w:ascii="Times New Roman" w:hAnsi="Times New Roman"/>
                <w:sz w:val="22"/>
                <w:szCs w:val="22"/>
              </w:rPr>
              <w:t>, para relato e voto e aprovação em bloco na próxima plenária.</w:t>
            </w:r>
          </w:p>
        </w:tc>
      </w:tr>
    </w:tbl>
    <w:p w:rsidR="00397661" w:rsidRDefault="00397661" w:rsidP="0073488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Pr="002F6B55" w:rsidRDefault="00C976C7" w:rsidP="008D7A7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8D7A7A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B16E6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C976C7" w:rsidP="008D7A7A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B16E6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D7A7A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D7A7A">
            <w:pPr>
              <w:tabs>
                <w:tab w:val="left" w:pos="338"/>
                <w:tab w:val="center" w:pos="219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D7A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D7A7A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D7A7A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D7A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 w:rsidP="0073488C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D01426" w:rsidSect="00C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B77" w:rsidRDefault="00895B77" w:rsidP="004C3048">
      <w:r>
        <w:separator/>
      </w:r>
    </w:p>
  </w:endnote>
  <w:endnote w:type="continuationSeparator" w:id="0">
    <w:p w:rsidR="00895B77" w:rsidRDefault="00895B7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77" w:rsidRPr="005950FA" w:rsidRDefault="00895B7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5B77" w:rsidRPr="005F2A2D" w:rsidRDefault="00895B7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77" w:rsidRPr="0093154B" w:rsidRDefault="00895B7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5B77" w:rsidRPr="003F1946" w:rsidRDefault="00895B7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16E67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5B77" w:rsidRPr="003F1946" w:rsidRDefault="00895B7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5B77" w:rsidRPr="00FC6A2F" w:rsidRDefault="00895B7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5B77" w:rsidRDefault="00895B7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77" w:rsidRPr="0093154B" w:rsidRDefault="00895B7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5B77" w:rsidRPr="003F1946" w:rsidRDefault="00895B7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16E6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5B77" w:rsidRPr="003F1946" w:rsidRDefault="00895B7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5B77" w:rsidRPr="00FC6A2F" w:rsidRDefault="00895B7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B77" w:rsidRDefault="00895B77" w:rsidP="004C3048">
      <w:r>
        <w:separator/>
      </w:r>
    </w:p>
  </w:footnote>
  <w:footnote w:type="continuationSeparator" w:id="0">
    <w:p w:rsidR="00895B77" w:rsidRDefault="00895B7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77" w:rsidRPr="009E4E5A" w:rsidRDefault="00895B7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67" w:rsidRDefault="00B16E67" w:rsidP="00B16E67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-1088918</wp:posOffset>
          </wp:positionH>
          <wp:positionV relativeFrom="paragraph">
            <wp:posOffset>-916445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E67" w:rsidRPr="00554A8F" w:rsidRDefault="00B16E67" w:rsidP="00B16E67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 w:rsidRPr="00554A8F">
      <w:rPr>
        <w:rFonts w:ascii="DaxCondensed" w:hAnsi="DaxCondensed" w:cs="Arial"/>
        <w:color w:val="386C71"/>
        <w:sz w:val="20"/>
        <w:szCs w:val="20"/>
      </w:rPr>
      <w:t>SÚMULA DA 13</w:t>
    </w:r>
    <w:r>
      <w:rPr>
        <w:rFonts w:ascii="DaxCondensed" w:hAnsi="DaxCondensed" w:cs="Arial"/>
        <w:color w:val="386C71"/>
        <w:sz w:val="20"/>
        <w:szCs w:val="20"/>
      </w:rPr>
      <w:t>4</w:t>
    </w:r>
    <w:r w:rsidRPr="00554A8F">
      <w:rPr>
        <w:rFonts w:ascii="DaxCondensed" w:hAnsi="DaxCondensed" w:cs="Arial"/>
        <w:color w:val="386C71"/>
        <w:sz w:val="20"/>
        <w:szCs w:val="20"/>
      </w:rPr>
      <w:t>ª REUNIÃO ORDINÁRIA CONSELHO DIRETOR - CAU/RS</w:t>
    </w:r>
  </w:p>
  <w:p w:rsidR="00895B77" w:rsidRPr="009E4E5A" w:rsidRDefault="00895B77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67" w:rsidRDefault="00B16E67" w:rsidP="00B16E67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-842688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E67" w:rsidRPr="00554A8F" w:rsidRDefault="00B16E67" w:rsidP="00B16E67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 w:rsidRPr="00554A8F">
      <w:rPr>
        <w:rFonts w:ascii="DaxCondensed" w:hAnsi="DaxCondensed" w:cs="Arial"/>
        <w:color w:val="386C71"/>
        <w:sz w:val="20"/>
        <w:szCs w:val="20"/>
      </w:rPr>
      <w:t>SÚMULA DA 13</w:t>
    </w:r>
    <w:r>
      <w:rPr>
        <w:rFonts w:ascii="DaxCondensed" w:hAnsi="DaxCondensed" w:cs="Arial"/>
        <w:color w:val="386C71"/>
        <w:sz w:val="20"/>
        <w:szCs w:val="20"/>
      </w:rPr>
      <w:t>4</w:t>
    </w:r>
    <w:r w:rsidRPr="00554A8F">
      <w:rPr>
        <w:rFonts w:ascii="DaxCondensed" w:hAnsi="DaxCondensed" w:cs="Arial"/>
        <w:color w:val="386C71"/>
        <w:sz w:val="20"/>
        <w:szCs w:val="20"/>
      </w:rPr>
      <w:t>ª REUNIÃO ORDINÁRIA CONSELHO DIRETOR - CAU/RS</w:t>
    </w:r>
  </w:p>
  <w:p w:rsidR="00895B77" w:rsidRDefault="00895B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12"/>
  </w:num>
  <w:num w:numId="9">
    <w:abstractNumId w:val="14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17EDD"/>
    <w:rsid w:val="00124A49"/>
    <w:rsid w:val="00133AD2"/>
    <w:rsid w:val="001614CB"/>
    <w:rsid w:val="0016330B"/>
    <w:rsid w:val="00163A1B"/>
    <w:rsid w:val="00170CA0"/>
    <w:rsid w:val="00174A5A"/>
    <w:rsid w:val="001778C5"/>
    <w:rsid w:val="00180FB9"/>
    <w:rsid w:val="001979E1"/>
    <w:rsid w:val="001B01D5"/>
    <w:rsid w:val="001B5148"/>
    <w:rsid w:val="001B5F62"/>
    <w:rsid w:val="001E56D2"/>
    <w:rsid w:val="001F61E5"/>
    <w:rsid w:val="00220A16"/>
    <w:rsid w:val="002425A7"/>
    <w:rsid w:val="0025277E"/>
    <w:rsid w:val="00255166"/>
    <w:rsid w:val="00280F33"/>
    <w:rsid w:val="00285A83"/>
    <w:rsid w:val="00295FD5"/>
    <w:rsid w:val="002969F8"/>
    <w:rsid w:val="002974CF"/>
    <w:rsid w:val="002A7C5E"/>
    <w:rsid w:val="002B140A"/>
    <w:rsid w:val="002D4361"/>
    <w:rsid w:val="002D54CA"/>
    <w:rsid w:val="002E293E"/>
    <w:rsid w:val="002E309D"/>
    <w:rsid w:val="002E6EE5"/>
    <w:rsid w:val="002F2AD1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E3ADB"/>
    <w:rsid w:val="003F1946"/>
    <w:rsid w:val="003F5088"/>
    <w:rsid w:val="003F7ADA"/>
    <w:rsid w:val="00410566"/>
    <w:rsid w:val="004123FC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4274"/>
    <w:rsid w:val="004D75DA"/>
    <w:rsid w:val="004E062B"/>
    <w:rsid w:val="004E4970"/>
    <w:rsid w:val="004F15C8"/>
    <w:rsid w:val="005054AE"/>
    <w:rsid w:val="00512C31"/>
    <w:rsid w:val="0053240A"/>
    <w:rsid w:val="005461A2"/>
    <w:rsid w:val="005615DC"/>
    <w:rsid w:val="00564054"/>
    <w:rsid w:val="00565889"/>
    <w:rsid w:val="0057485B"/>
    <w:rsid w:val="0057732C"/>
    <w:rsid w:val="005B4B10"/>
    <w:rsid w:val="005D2428"/>
    <w:rsid w:val="005D2FBE"/>
    <w:rsid w:val="005D3D88"/>
    <w:rsid w:val="005E2D9F"/>
    <w:rsid w:val="005F47CB"/>
    <w:rsid w:val="005F6D57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3F47"/>
    <w:rsid w:val="00665AB1"/>
    <w:rsid w:val="0066674D"/>
    <w:rsid w:val="00681548"/>
    <w:rsid w:val="00690C35"/>
    <w:rsid w:val="0069229F"/>
    <w:rsid w:val="006B670F"/>
    <w:rsid w:val="006C75E7"/>
    <w:rsid w:val="006C7D8F"/>
    <w:rsid w:val="006D2981"/>
    <w:rsid w:val="006F4E9B"/>
    <w:rsid w:val="006F6327"/>
    <w:rsid w:val="00731BBD"/>
    <w:rsid w:val="0073488C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E57BA"/>
    <w:rsid w:val="00805FC1"/>
    <w:rsid w:val="0081283D"/>
    <w:rsid w:val="00815589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5B77"/>
    <w:rsid w:val="008A2EE4"/>
    <w:rsid w:val="008D4752"/>
    <w:rsid w:val="008D7A7A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40C9"/>
    <w:rsid w:val="009B5DB8"/>
    <w:rsid w:val="009C581F"/>
    <w:rsid w:val="009D0886"/>
    <w:rsid w:val="009E3C4D"/>
    <w:rsid w:val="00A050DB"/>
    <w:rsid w:val="00A12579"/>
    <w:rsid w:val="00A31405"/>
    <w:rsid w:val="00A40ECC"/>
    <w:rsid w:val="00A43C37"/>
    <w:rsid w:val="00A47C9C"/>
    <w:rsid w:val="00A5515C"/>
    <w:rsid w:val="00A565FE"/>
    <w:rsid w:val="00A570C2"/>
    <w:rsid w:val="00A62383"/>
    <w:rsid w:val="00A80C65"/>
    <w:rsid w:val="00A83107"/>
    <w:rsid w:val="00AE2654"/>
    <w:rsid w:val="00AF1451"/>
    <w:rsid w:val="00AF368E"/>
    <w:rsid w:val="00B129F6"/>
    <w:rsid w:val="00B12E15"/>
    <w:rsid w:val="00B15D4F"/>
    <w:rsid w:val="00B16E67"/>
    <w:rsid w:val="00B21D27"/>
    <w:rsid w:val="00B23E93"/>
    <w:rsid w:val="00B27476"/>
    <w:rsid w:val="00B309B7"/>
    <w:rsid w:val="00B3272B"/>
    <w:rsid w:val="00B37B9F"/>
    <w:rsid w:val="00B6066A"/>
    <w:rsid w:val="00B63C2E"/>
    <w:rsid w:val="00B6624C"/>
    <w:rsid w:val="00B73A02"/>
    <w:rsid w:val="00B81197"/>
    <w:rsid w:val="00BA2B5B"/>
    <w:rsid w:val="00BB5E13"/>
    <w:rsid w:val="00BC73B6"/>
    <w:rsid w:val="00BD5A2C"/>
    <w:rsid w:val="00C038EA"/>
    <w:rsid w:val="00C05F5C"/>
    <w:rsid w:val="00C15B9D"/>
    <w:rsid w:val="00C301CA"/>
    <w:rsid w:val="00C33E0D"/>
    <w:rsid w:val="00C3665F"/>
    <w:rsid w:val="00C37B13"/>
    <w:rsid w:val="00C42605"/>
    <w:rsid w:val="00C45812"/>
    <w:rsid w:val="00C646F3"/>
    <w:rsid w:val="00C72981"/>
    <w:rsid w:val="00C72C38"/>
    <w:rsid w:val="00C86244"/>
    <w:rsid w:val="00C90815"/>
    <w:rsid w:val="00C976C7"/>
    <w:rsid w:val="00CC3664"/>
    <w:rsid w:val="00CC5EB2"/>
    <w:rsid w:val="00CD0E69"/>
    <w:rsid w:val="00CD4444"/>
    <w:rsid w:val="00CD53AE"/>
    <w:rsid w:val="00CE4E08"/>
    <w:rsid w:val="00CF2FBA"/>
    <w:rsid w:val="00D01426"/>
    <w:rsid w:val="00D02A38"/>
    <w:rsid w:val="00D213CD"/>
    <w:rsid w:val="00D24E51"/>
    <w:rsid w:val="00D316A9"/>
    <w:rsid w:val="00D32E81"/>
    <w:rsid w:val="00D43467"/>
    <w:rsid w:val="00D54E3A"/>
    <w:rsid w:val="00D62C61"/>
    <w:rsid w:val="00D67B4E"/>
    <w:rsid w:val="00D75736"/>
    <w:rsid w:val="00D802D9"/>
    <w:rsid w:val="00D8349F"/>
    <w:rsid w:val="00D9535A"/>
    <w:rsid w:val="00DB4045"/>
    <w:rsid w:val="00DC24A8"/>
    <w:rsid w:val="00DD09A6"/>
    <w:rsid w:val="00DD16FB"/>
    <w:rsid w:val="00DE67B2"/>
    <w:rsid w:val="00DF2B5B"/>
    <w:rsid w:val="00E00DCA"/>
    <w:rsid w:val="00E0487E"/>
    <w:rsid w:val="00E05EC1"/>
    <w:rsid w:val="00E12EC2"/>
    <w:rsid w:val="00E214E0"/>
    <w:rsid w:val="00E22ADE"/>
    <w:rsid w:val="00E22AF6"/>
    <w:rsid w:val="00E31CC4"/>
    <w:rsid w:val="00E3663E"/>
    <w:rsid w:val="00E408E2"/>
    <w:rsid w:val="00E47A74"/>
    <w:rsid w:val="00E51B82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4AD"/>
    <w:rsid w:val="00F2295D"/>
    <w:rsid w:val="00F271D7"/>
    <w:rsid w:val="00F34C54"/>
    <w:rsid w:val="00F41D16"/>
    <w:rsid w:val="00F55E0C"/>
    <w:rsid w:val="00F60321"/>
    <w:rsid w:val="00F62212"/>
    <w:rsid w:val="00F75859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2528-9CCC-4C82-8297-1DF8549A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1439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38</cp:revision>
  <cp:lastPrinted>2018-04-09T14:37:00Z</cp:lastPrinted>
  <dcterms:created xsi:type="dcterms:W3CDTF">2017-12-20T18:28:00Z</dcterms:created>
  <dcterms:modified xsi:type="dcterms:W3CDTF">2018-04-09T14:43:00Z</dcterms:modified>
</cp:coreProperties>
</file>